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F601" w14:textId="77777777" w:rsidR="00B6465B" w:rsidRDefault="00B6465B" w:rsidP="00135760">
      <w:pPr>
        <w:outlineLvl w:val="0"/>
        <w:rPr>
          <w:b/>
          <w:szCs w:val="20"/>
          <w:u w:val="single"/>
        </w:rPr>
      </w:pPr>
    </w:p>
    <w:p w14:paraId="4266DB94" w14:textId="06CFBD27" w:rsidR="00B6465B" w:rsidRPr="00AE3F99" w:rsidRDefault="00B6465B" w:rsidP="00B6465B">
      <w:pPr>
        <w:jc w:val="center"/>
        <w:rPr>
          <w:rFonts w:asciiTheme="minorHAnsi" w:hAnsiTheme="minorHAnsi" w:cstheme="minorBidi"/>
          <w:b/>
          <w:sz w:val="20"/>
          <w:szCs w:val="20"/>
        </w:rPr>
      </w:pPr>
      <w:r w:rsidRPr="00AE3F99">
        <w:rPr>
          <w:b/>
          <w:sz w:val="20"/>
          <w:szCs w:val="20"/>
        </w:rPr>
        <w:t>2018 Community Pilot Program</w:t>
      </w:r>
    </w:p>
    <w:p w14:paraId="7F028D89" w14:textId="4E474534" w:rsidR="00B6465B" w:rsidRPr="00AE3F99" w:rsidRDefault="00B6465B" w:rsidP="00B6465B">
      <w:pPr>
        <w:jc w:val="center"/>
        <w:rPr>
          <w:b/>
          <w:sz w:val="20"/>
          <w:szCs w:val="20"/>
        </w:rPr>
      </w:pPr>
      <w:r w:rsidRPr="00AE3F99">
        <w:rPr>
          <w:b/>
          <w:sz w:val="20"/>
          <w:szCs w:val="20"/>
        </w:rPr>
        <w:t>Instructions for Proposal Narrative, Budget and Metrics</w:t>
      </w:r>
    </w:p>
    <w:p w14:paraId="1700257E" w14:textId="47CCA131" w:rsidR="00B6465B" w:rsidRPr="008B2F07" w:rsidRDefault="00297E48" w:rsidP="008B2F07">
      <w:pPr>
        <w:jc w:val="center"/>
        <w:rPr>
          <w:sz w:val="20"/>
          <w:szCs w:val="20"/>
        </w:rPr>
      </w:pPr>
      <w:r>
        <w:rPr>
          <w:sz w:val="20"/>
          <w:szCs w:val="20"/>
        </w:rPr>
        <w:t>June 21, 2018</w:t>
      </w:r>
    </w:p>
    <w:p w14:paraId="6C71A788" w14:textId="77777777" w:rsidR="00B6465B" w:rsidRPr="00AE3F99" w:rsidRDefault="00B6465B" w:rsidP="0050400A">
      <w:pPr>
        <w:pStyle w:val="Heading1"/>
        <w:numPr>
          <w:ilvl w:val="0"/>
          <w:numId w:val="0"/>
        </w:numPr>
        <w:ind w:left="432"/>
      </w:pPr>
    </w:p>
    <w:p w14:paraId="2E504CE2" w14:textId="7BAB0F2A" w:rsidR="00B67FFE" w:rsidRPr="00AE3F99" w:rsidRDefault="00B67FFE" w:rsidP="0050400A">
      <w:pPr>
        <w:pStyle w:val="Heading1"/>
      </w:pPr>
      <w:r w:rsidRPr="00AE3F99">
        <w:t>Introduction</w:t>
      </w:r>
    </w:p>
    <w:p w14:paraId="15932A29" w14:textId="2F955528" w:rsidR="00D54ACF" w:rsidRPr="00AE3F99" w:rsidRDefault="00D54ACF" w:rsidP="00D54ACF">
      <w:r w:rsidRPr="00AE3F99">
        <w:t>P</w:t>
      </w:r>
      <w:r w:rsidR="00EC7076">
        <w:t xml:space="preserve">eninsula </w:t>
      </w:r>
      <w:r w:rsidRPr="00AE3F99">
        <w:t>C</w:t>
      </w:r>
      <w:r w:rsidR="00EC7076">
        <w:t xml:space="preserve">lean </w:t>
      </w:r>
      <w:r w:rsidRPr="00AE3F99">
        <w:t>E</w:t>
      </w:r>
      <w:r w:rsidR="00EC7076">
        <w:t>nergy (PCE)</w:t>
      </w:r>
      <w:r w:rsidRPr="00AE3F99">
        <w:t xml:space="preserve"> is very excited to open the Call for Proposals for Community Pilots. As part of PCE’s mission to </w:t>
      </w:r>
      <w:r w:rsidR="00EC7076">
        <w:t xml:space="preserve">reduce greenhouse gas emissions, </w:t>
      </w:r>
      <w:r w:rsidRPr="00AE3F99">
        <w:t>deliver</w:t>
      </w:r>
      <w:r w:rsidR="00EC7076">
        <w:t xml:space="preserve"> cleaner and greener electricity at</w:t>
      </w:r>
      <w:r w:rsidRPr="00AE3F99">
        <w:t xml:space="preserve"> lower costs</w:t>
      </w:r>
      <w:r w:rsidR="00EC7076">
        <w:t>,</w:t>
      </w:r>
      <w:r w:rsidRPr="00AE3F99">
        <w:t xml:space="preserve"> and </w:t>
      </w:r>
      <w:r w:rsidR="00297E48">
        <w:t xml:space="preserve">provide </w:t>
      </w:r>
      <w:r w:rsidR="00EC7076">
        <w:t xml:space="preserve">additional </w:t>
      </w:r>
      <w:r w:rsidRPr="00AE3F99">
        <w:t>tangible benefits to the community</w:t>
      </w:r>
      <w:r w:rsidR="00EC7076">
        <w:t>,</w:t>
      </w:r>
      <w:r w:rsidRPr="00AE3F99">
        <w:t xml:space="preserve"> PCE will be moving forward to implement </w:t>
      </w:r>
      <w:proofErr w:type="gramStart"/>
      <w:r w:rsidRPr="00AE3F99">
        <w:t>a number of</w:t>
      </w:r>
      <w:proofErr w:type="gramEnd"/>
      <w:r w:rsidRPr="00AE3F99">
        <w:t xml:space="preserve"> local programs</w:t>
      </w:r>
      <w:r w:rsidR="00EC7076">
        <w:t>.  This</w:t>
      </w:r>
      <w:r w:rsidRPr="00AE3F99">
        <w:t xml:space="preserve"> includ</w:t>
      </w:r>
      <w:r w:rsidR="00EC7076">
        <w:t xml:space="preserve">es initiating </w:t>
      </w:r>
      <w:proofErr w:type="gramStart"/>
      <w:r w:rsidR="00EC7076">
        <w:t>a number of</w:t>
      </w:r>
      <w:proofErr w:type="gramEnd"/>
      <w:r w:rsidRPr="00AE3F99">
        <w:t xml:space="preserve"> pilot</w:t>
      </w:r>
      <w:r w:rsidR="00EC7076">
        <w:t xml:space="preserve"> programs as</w:t>
      </w:r>
      <w:r w:rsidR="0050400A" w:rsidRPr="00AE3F99">
        <w:t xml:space="preserve"> </w:t>
      </w:r>
      <w:r w:rsidRPr="00AE3F99">
        <w:t xml:space="preserve">identified through these proposals. </w:t>
      </w:r>
    </w:p>
    <w:p w14:paraId="49C521DD" w14:textId="77777777" w:rsidR="00D54ACF" w:rsidRPr="00AE3F99" w:rsidRDefault="00D54ACF" w:rsidP="00D54ACF"/>
    <w:p w14:paraId="2AB0F341" w14:textId="77777777" w:rsidR="00D54ACF" w:rsidRPr="00AE3F99" w:rsidRDefault="00D54ACF" w:rsidP="00D54ACF">
      <w:r w:rsidRPr="00AE3F99">
        <w:t>The community pilots identified are intended to support PCE strategic objectives by:</w:t>
      </w:r>
    </w:p>
    <w:p w14:paraId="129F4459" w14:textId="77777777" w:rsidR="00F46E60" w:rsidRPr="00AE3F99" w:rsidRDefault="00F46E60" w:rsidP="00F46E60">
      <w:r w:rsidRPr="00AE3F99">
        <w:t>•</w:t>
      </w:r>
      <w:r w:rsidRPr="00AE3F99">
        <w:tab/>
        <w:t>Reducing GHG emissions</w:t>
      </w:r>
    </w:p>
    <w:p w14:paraId="030DB7E4" w14:textId="77777777" w:rsidR="00F46E60" w:rsidRPr="00AE3F99" w:rsidRDefault="00F46E60" w:rsidP="00F46E60">
      <w:r w:rsidRPr="00AE3F99">
        <w:t>•</w:t>
      </w:r>
      <w:r w:rsidRPr="00AE3F99">
        <w:tab/>
        <w:t>Delivering local community benefits</w:t>
      </w:r>
    </w:p>
    <w:p w14:paraId="40546A17" w14:textId="77777777" w:rsidR="00F46E60" w:rsidRPr="00AE3F99" w:rsidRDefault="00F46E60" w:rsidP="00F46E60">
      <w:r w:rsidRPr="00AE3F99">
        <w:t>•</w:t>
      </w:r>
      <w:r w:rsidRPr="00AE3F99">
        <w:tab/>
        <w:t xml:space="preserve">Advancing innovation </w:t>
      </w:r>
    </w:p>
    <w:p w14:paraId="0176BA0C" w14:textId="77777777" w:rsidR="00F46E60" w:rsidRPr="00AE3F99" w:rsidRDefault="00F46E60" w:rsidP="00F46E60">
      <w:r w:rsidRPr="00AE3F99">
        <w:t>•</w:t>
      </w:r>
      <w:r w:rsidRPr="00AE3F99">
        <w:tab/>
        <w:t>Aligning energy supply and load</w:t>
      </w:r>
    </w:p>
    <w:p w14:paraId="42CBFFA1" w14:textId="77777777" w:rsidR="00F46E60" w:rsidRPr="00AE3F99" w:rsidRDefault="00F46E60" w:rsidP="00F46E60"/>
    <w:p w14:paraId="271A8FD8" w14:textId="77777777" w:rsidR="00F46E60" w:rsidRPr="00AE3F99" w:rsidRDefault="00F46E60" w:rsidP="00F46E60">
      <w:r w:rsidRPr="00AE3F99">
        <w:t>Funding of up to $75,000 will be offered for pilot projects of up to 18 months in duration. It is anticipated that up to 6 projects may be selected but any strong proposal will be highly considered for current or potentially future support. Successful pilots may be considered for follow-on support based on performance.</w:t>
      </w:r>
    </w:p>
    <w:p w14:paraId="410D13EE" w14:textId="77777777" w:rsidR="00F46E60" w:rsidRPr="00AE3F99" w:rsidRDefault="00F46E60" w:rsidP="00F46E60"/>
    <w:p w14:paraId="2DC26FB9" w14:textId="1E5DFF95" w:rsidR="00F46E60" w:rsidRPr="00AE3F99" w:rsidRDefault="00F46E60" w:rsidP="00F46E60">
      <w:r w:rsidRPr="00AE3F99">
        <w:t xml:space="preserve">Any individual or organization may submit a proposal for consideration. PCE may engage partners to refine proposed concepts and/or may adapt them as deemed necessary. Lead organizations whose projects are selected will be required to enter into contract with PCE to receive funds. </w:t>
      </w:r>
    </w:p>
    <w:p w14:paraId="1744D304" w14:textId="77777777" w:rsidR="00F46E60" w:rsidRPr="00AE3F99" w:rsidRDefault="00F46E60" w:rsidP="00F46E60"/>
    <w:p w14:paraId="46600CE1" w14:textId="60565298" w:rsidR="00F46E60" w:rsidRPr="00AE3F99" w:rsidRDefault="00F46E60" w:rsidP="00F46E60">
      <w:r w:rsidRPr="00AE3F99">
        <w:t>Funds for direct labor and supplies will be supplied up-front to aid execution.  Funds for equipment (over $5,000) or major subcontractors (over $20,000) will require a quote for funds to be released. A midterm report (brief) and final report will be required</w:t>
      </w:r>
      <w:r w:rsidR="00443B50">
        <w:t>. In addition, PCE will require a site visit to be determined based on the nature of the project. The site visit may be at the office of the applicant or facility where a deployment is occurring</w:t>
      </w:r>
      <w:r w:rsidRPr="00AE3F99">
        <w:t>.</w:t>
      </w:r>
    </w:p>
    <w:p w14:paraId="6DDAF811" w14:textId="77777777" w:rsidR="00F46E60" w:rsidRPr="00AE3F99" w:rsidRDefault="00F46E60" w:rsidP="00F46E60"/>
    <w:p w14:paraId="435B77A5" w14:textId="7C256D68" w:rsidR="00B67FFE" w:rsidRPr="00AE3F99" w:rsidRDefault="00F46E60" w:rsidP="00F46E60">
      <w:r w:rsidRPr="00AE3F99">
        <w:t xml:space="preserve">Questions may be submitted to </w:t>
      </w:r>
      <w:hyperlink r:id="rId8" w:history="1">
        <w:r w:rsidRPr="00FA6871">
          <w:rPr>
            <w:rStyle w:val="Hyperlink"/>
          </w:rPr>
          <w:t>Programs@peninsulacleanenergy.com</w:t>
        </w:r>
      </w:hyperlink>
      <w:r w:rsidRPr="00AE3F99">
        <w:t xml:space="preserve"> with the subject “Proposal Question: …”. Responses will be posted on a continuous basis on the FAQ within 7 to 10 days</w:t>
      </w:r>
      <w:r w:rsidR="00443B50">
        <w:t xml:space="preserve"> of receipt</w:t>
      </w:r>
      <w:r w:rsidRPr="00AE3F99">
        <w:t>.</w:t>
      </w:r>
    </w:p>
    <w:p w14:paraId="266D1E86" w14:textId="4338B87F" w:rsidR="00A23613" w:rsidRDefault="00A23613" w:rsidP="00F46E60"/>
    <w:p w14:paraId="49D3A1CF" w14:textId="77777777" w:rsidR="00190474" w:rsidRPr="00AE3F99" w:rsidRDefault="00190474" w:rsidP="00F46E60"/>
    <w:p w14:paraId="56F36507" w14:textId="1DBA0B76" w:rsidR="00190474" w:rsidRDefault="00190474" w:rsidP="0050400A">
      <w:pPr>
        <w:pStyle w:val="Heading1"/>
      </w:pPr>
      <w:r>
        <w:t xml:space="preserve">Submission Instructions </w:t>
      </w:r>
    </w:p>
    <w:p w14:paraId="7BF675BE" w14:textId="77777777" w:rsidR="00190474" w:rsidRDefault="00190474" w:rsidP="00374F6D"/>
    <w:p w14:paraId="391006D0" w14:textId="09B5DA07" w:rsidR="00190474" w:rsidRDefault="00190474" w:rsidP="00374F6D">
      <w:r>
        <w:t xml:space="preserve">To </w:t>
      </w:r>
      <w:r w:rsidR="000D1E2B">
        <w:t xml:space="preserve">submit a proposal for consideration, applicants </w:t>
      </w:r>
      <w:r w:rsidR="000D1E2B" w:rsidRPr="00374F6D">
        <w:rPr>
          <w:b/>
          <w:u w:val="single"/>
        </w:rPr>
        <w:t>must</w:t>
      </w:r>
      <w:r w:rsidR="000D1E2B">
        <w:rPr>
          <w:b/>
        </w:rPr>
        <w:t xml:space="preserve"> </w:t>
      </w:r>
      <w:r w:rsidR="000D1E2B">
        <w:t xml:space="preserve">do the following two things: </w:t>
      </w:r>
    </w:p>
    <w:p w14:paraId="7E19E888" w14:textId="77777777" w:rsidR="00190474" w:rsidRDefault="00190474" w:rsidP="00374F6D"/>
    <w:p w14:paraId="22F3B252" w14:textId="41C74792" w:rsidR="00190474" w:rsidRDefault="00190474" w:rsidP="00A91979">
      <w:pPr>
        <w:pStyle w:val="ListParagraph"/>
        <w:numPr>
          <w:ilvl w:val="0"/>
          <w:numId w:val="41"/>
        </w:numPr>
        <w:jc w:val="left"/>
      </w:pPr>
      <w:r>
        <w:t xml:space="preserve">Fill out </w:t>
      </w:r>
      <w:r w:rsidR="000D1E2B">
        <w:t xml:space="preserve">this </w:t>
      </w:r>
      <w:hyperlink r:id="rId9" w:history="1">
        <w:r w:rsidR="000D1E2B" w:rsidRPr="000D1E2B">
          <w:rPr>
            <w:rStyle w:val="Hyperlink"/>
          </w:rPr>
          <w:t>Proposal Submission Form</w:t>
        </w:r>
      </w:hyperlink>
      <w:r w:rsidR="00E12372" w:rsidRPr="00A91979">
        <w:rPr>
          <w:rStyle w:val="Hyperlink"/>
          <w:u w:val="none"/>
        </w:rPr>
        <w:t xml:space="preserve">: </w:t>
      </w:r>
      <w:hyperlink r:id="rId10" w:history="1">
        <w:r w:rsidR="00A91979" w:rsidRPr="006A0EB5">
          <w:rPr>
            <w:rStyle w:val="Hyperlink"/>
          </w:rPr>
          <w:t>https://tinyurl.com/PCEPilotSummaries</w:t>
        </w:r>
      </w:hyperlink>
      <w:r w:rsidR="00A91979">
        <w:rPr>
          <w:rStyle w:val="Hyperlink"/>
          <w:u w:val="none"/>
        </w:rPr>
        <w:t xml:space="preserve"> </w:t>
      </w:r>
    </w:p>
    <w:p w14:paraId="082A97F8" w14:textId="77777777" w:rsidR="00A91979" w:rsidRDefault="00A91979" w:rsidP="00A91979">
      <w:pPr>
        <w:pStyle w:val="ListParagraph"/>
        <w:jc w:val="left"/>
      </w:pPr>
    </w:p>
    <w:p w14:paraId="20B06899" w14:textId="5A8896D5" w:rsidR="00190474" w:rsidRDefault="00190474" w:rsidP="00374F6D">
      <w:pPr>
        <w:pStyle w:val="ListParagraph"/>
        <w:numPr>
          <w:ilvl w:val="0"/>
          <w:numId w:val="41"/>
        </w:numPr>
      </w:pPr>
      <w:r>
        <w:t xml:space="preserve">Email </w:t>
      </w:r>
      <w:hyperlink r:id="rId11" w:history="1">
        <w:r w:rsidR="000D1E2B" w:rsidRPr="000D1E2B">
          <w:rPr>
            <w:rStyle w:val="Hyperlink"/>
          </w:rPr>
          <w:t>P</w:t>
        </w:r>
        <w:r w:rsidR="000D1E2B" w:rsidRPr="002C5A01">
          <w:rPr>
            <w:rStyle w:val="Hyperlink"/>
          </w:rPr>
          <w:t>rograms@peninsulacleanenergy.com</w:t>
        </w:r>
      </w:hyperlink>
      <w:r>
        <w:t xml:space="preserve"> the following </w:t>
      </w:r>
      <w:r w:rsidR="008F2A8C">
        <w:t>files, with the subject “Proposal - &lt;</w:t>
      </w:r>
      <w:r w:rsidR="00374F6D">
        <w:t>Organization</w:t>
      </w:r>
      <w:r w:rsidR="008F2A8C">
        <w:t>&gt; &lt;Proposal Title&gt;”</w:t>
      </w:r>
      <w:r w:rsidR="00422CB7">
        <w:t xml:space="preserve">. Files must be named as instructed. </w:t>
      </w:r>
    </w:p>
    <w:p w14:paraId="74FB4226" w14:textId="08669AB6" w:rsidR="00190474" w:rsidRDefault="00422CB7" w:rsidP="00374F6D">
      <w:pPr>
        <w:pStyle w:val="ListParagraph"/>
        <w:numPr>
          <w:ilvl w:val="1"/>
          <w:numId w:val="41"/>
        </w:numPr>
      </w:pPr>
      <w:r>
        <w:lastRenderedPageBreak/>
        <w:t xml:space="preserve">Proposal Narrative: </w:t>
      </w:r>
      <w:r w:rsidR="00B43435">
        <w:t>&lt;</w:t>
      </w:r>
      <w:r w:rsidR="00374F6D">
        <w:t>Organization</w:t>
      </w:r>
      <w:r w:rsidR="00B43435">
        <w:t>&gt;_Proposal.doc</w:t>
      </w:r>
    </w:p>
    <w:p w14:paraId="12465A93" w14:textId="26363403" w:rsidR="00B43435" w:rsidRDefault="00422CB7" w:rsidP="00374F6D">
      <w:pPr>
        <w:pStyle w:val="ListParagraph"/>
        <w:numPr>
          <w:ilvl w:val="1"/>
          <w:numId w:val="41"/>
        </w:numPr>
      </w:pPr>
      <w:r>
        <w:t xml:space="preserve">Budget Form: </w:t>
      </w:r>
      <w:r w:rsidR="00B43435">
        <w:t>&lt;</w:t>
      </w:r>
      <w:r w:rsidR="00374F6D">
        <w:t>Organization</w:t>
      </w:r>
      <w:r w:rsidR="00B43435">
        <w:t xml:space="preserve">&gt;_Budget.xls </w:t>
      </w:r>
    </w:p>
    <w:p w14:paraId="4C5C6578" w14:textId="37E6FBA7" w:rsidR="00B43435" w:rsidRDefault="00422CB7" w:rsidP="00374F6D">
      <w:pPr>
        <w:pStyle w:val="ListParagraph"/>
        <w:numPr>
          <w:ilvl w:val="1"/>
          <w:numId w:val="41"/>
        </w:numPr>
      </w:pPr>
      <w:r>
        <w:t xml:space="preserve">(OPTIONAL) </w:t>
      </w:r>
      <w:r w:rsidR="00B43435">
        <w:t>GHG Emissions Reductio</w:t>
      </w:r>
      <w:r>
        <w:t xml:space="preserve">n and Cost Effectiveness: </w:t>
      </w:r>
      <w:r w:rsidR="00B43435">
        <w:t>&lt;</w:t>
      </w:r>
      <w:r w:rsidR="00374F6D">
        <w:t>Organization</w:t>
      </w:r>
      <w:r w:rsidR="00B43435">
        <w:t xml:space="preserve">&gt;_Calcs.xls </w:t>
      </w:r>
    </w:p>
    <w:p w14:paraId="32A98BE0" w14:textId="77777777" w:rsidR="00422CB7" w:rsidRDefault="00422CB7" w:rsidP="00374F6D"/>
    <w:p w14:paraId="223312DE" w14:textId="70C2BE52" w:rsidR="00422CB7" w:rsidRPr="00190474" w:rsidRDefault="00422CB7" w:rsidP="00374F6D">
      <w:r>
        <w:t xml:space="preserve">Specific instructions for the Proposal Narrative and Budget Form can be found below. </w:t>
      </w:r>
    </w:p>
    <w:p w14:paraId="5E271E16" w14:textId="77777777" w:rsidR="00190474" w:rsidRPr="00190474" w:rsidRDefault="00190474" w:rsidP="00374F6D"/>
    <w:p w14:paraId="3F48B514" w14:textId="77777777" w:rsidR="00871B87" w:rsidRPr="00AE3F99" w:rsidRDefault="00AB3BE2">
      <w:pPr>
        <w:pStyle w:val="Heading1"/>
      </w:pPr>
      <w:r w:rsidRPr="00AE3F99">
        <w:t>Evaluation</w:t>
      </w:r>
      <w:r w:rsidR="00871B87" w:rsidRPr="00AE3F99">
        <w:t xml:space="preserve"> </w:t>
      </w:r>
      <w:r w:rsidRPr="00AE3F99">
        <w:t>Criteria</w:t>
      </w:r>
    </w:p>
    <w:p w14:paraId="63578C64" w14:textId="56079BF5" w:rsidR="00871B87" w:rsidRPr="00AE3F99" w:rsidRDefault="0050400A" w:rsidP="00135760">
      <w:r w:rsidRPr="00AE3F99">
        <w:t xml:space="preserve">Proposals will be evaluated </w:t>
      </w:r>
      <w:proofErr w:type="gramStart"/>
      <w:r w:rsidRPr="00AE3F99">
        <w:t>on the basis of</w:t>
      </w:r>
      <w:proofErr w:type="gramEnd"/>
      <w:r w:rsidRPr="00AE3F99">
        <w:t xml:space="preserve"> the following criteria:</w:t>
      </w:r>
    </w:p>
    <w:p w14:paraId="4B0C928E" w14:textId="77777777" w:rsidR="0050400A" w:rsidRPr="00AE3F99" w:rsidRDefault="0050400A" w:rsidP="00135760"/>
    <w:p w14:paraId="30B1C726" w14:textId="77777777" w:rsidR="00AB3BE2" w:rsidRPr="00AE3F99" w:rsidRDefault="00AB3BE2" w:rsidP="00135760">
      <w:pPr>
        <w:pStyle w:val="ListParagraph"/>
        <w:numPr>
          <w:ilvl w:val="0"/>
          <w:numId w:val="25"/>
        </w:numPr>
      </w:pPr>
      <w:r w:rsidRPr="00AE3F99">
        <w:t xml:space="preserve">Accelerates GHG reductions and renewables </w:t>
      </w:r>
    </w:p>
    <w:p w14:paraId="2F31C915" w14:textId="4C7A3505" w:rsidR="00AB3BE2" w:rsidRPr="00AE3F99" w:rsidRDefault="00AB3BE2" w:rsidP="00135760">
      <w:r w:rsidRPr="00AE3F99">
        <w:t>Delivers clear quantifiable GHG reductions and/or renewables in a cost-effective manner.</w:t>
      </w:r>
      <w:r w:rsidR="00676C63">
        <w:t xml:space="preserve"> Note that PCE does </w:t>
      </w:r>
      <w:r w:rsidR="00676C63" w:rsidRPr="005D0A44">
        <w:rPr>
          <w:u w:val="single"/>
        </w:rPr>
        <w:t>not</w:t>
      </w:r>
      <w:r w:rsidR="00676C63">
        <w:t xml:space="preserve"> plan to pursue programs which are</w:t>
      </w:r>
      <w:r w:rsidR="005D0A44">
        <w:t xml:space="preserve"> currently delivered through California Public Utility Commission regulated programs but may complement such programs where appropriate. In addition, transportation fuel and natural gas are recognized as the top two contributors to GHGs. Where GHGs associated with electricity are proposed for reduction, applicants should consider that the emissions impact is lower with a cleaner grid, especially during hours when renewables are generating power.</w:t>
      </w:r>
    </w:p>
    <w:p w14:paraId="23FC0106" w14:textId="77777777" w:rsidR="00AB3BE2" w:rsidRPr="00AE3F99" w:rsidRDefault="00AB3BE2" w:rsidP="00135760"/>
    <w:p w14:paraId="15C00738" w14:textId="77777777" w:rsidR="00AB3BE2" w:rsidRPr="00AE3F99" w:rsidRDefault="00AB3BE2" w:rsidP="00135760">
      <w:pPr>
        <w:pStyle w:val="ListParagraph"/>
        <w:numPr>
          <w:ilvl w:val="0"/>
          <w:numId w:val="25"/>
        </w:numPr>
      </w:pPr>
      <w:r w:rsidRPr="00AE3F99">
        <w:t>Delivers community benefits</w:t>
      </w:r>
    </w:p>
    <w:p w14:paraId="02E1A020" w14:textId="1140278B" w:rsidR="00AB3BE2" w:rsidRPr="00AE3F99" w:rsidRDefault="00AB3BE2" w:rsidP="00135760">
      <w:r w:rsidRPr="00AE3F99">
        <w:t>The project provides community benefits including delivering tangible benefits to low income communities, develops workforce</w:t>
      </w:r>
      <w:r w:rsidR="00F638C4" w:rsidRPr="00AE3F99">
        <w:t xml:space="preserve"> (including aligning with </w:t>
      </w:r>
      <w:hyperlink r:id="rId12" w:history="1">
        <w:r w:rsidR="00F638C4" w:rsidRPr="00364F36">
          <w:rPr>
            <w:rStyle w:val="Hyperlink"/>
          </w:rPr>
          <w:t>PCE workforce policy</w:t>
        </w:r>
      </w:hyperlink>
      <w:r w:rsidR="00F638C4" w:rsidRPr="00AE3F99">
        <w:t>)</w:t>
      </w:r>
      <w:r w:rsidRPr="00AE3F99">
        <w:t>, and/or serves customers across PCE’s geography.</w:t>
      </w:r>
    </w:p>
    <w:p w14:paraId="24C8A89E" w14:textId="77777777" w:rsidR="00AB3BE2" w:rsidRPr="00AE3F99" w:rsidRDefault="00AB3BE2" w:rsidP="00135760"/>
    <w:p w14:paraId="40F989B2" w14:textId="77777777" w:rsidR="00AB3BE2" w:rsidRPr="00AE3F99" w:rsidRDefault="00AB3BE2" w:rsidP="00135760">
      <w:pPr>
        <w:pStyle w:val="ListParagraph"/>
        <w:numPr>
          <w:ilvl w:val="0"/>
          <w:numId w:val="25"/>
        </w:numPr>
      </w:pPr>
      <w:r w:rsidRPr="00AE3F99">
        <w:t>Supports PCE’s load serving needs</w:t>
      </w:r>
    </w:p>
    <w:p w14:paraId="40244968" w14:textId="78DF146A" w:rsidR="00AB3BE2" w:rsidRPr="00AE3F99" w:rsidRDefault="00AB3BE2" w:rsidP="00135760">
      <w:r w:rsidRPr="00AE3F99">
        <w:t xml:space="preserve">Supports PCE’s </w:t>
      </w:r>
      <w:r w:rsidR="00DC6E59" w:rsidRPr="00AE3F99">
        <w:t>objective to reach 100% renewables by 2025 by</w:t>
      </w:r>
      <w:r w:rsidRPr="00AE3F99">
        <w:t xml:space="preserve"> matching supply and load.</w:t>
      </w:r>
    </w:p>
    <w:p w14:paraId="4B20E928" w14:textId="77777777" w:rsidR="00AB3BE2" w:rsidRPr="00AE3F99" w:rsidRDefault="00AB3BE2" w:rsidP="00135760"/>
    <w:p w14:paraId="489D7D38" w14:textId="77777777" w:rsidR="00AB3BE2" w:rsidRPr="00AE3F99" w:rsidRDefault="00AB3BE2" w:rsidP="00135760">
      <w:pPr>
        <w:pStyle w:val="ListParagraph"/>
        <w:numPr>
          <w:ilvl w:val="0"/>
          <w:numId w:val="25"/>
        </w:numPr>
      </w:pPr>
      <w:r w:rsidRPr="00AE3F99">
        <w:t>Can be executed within PCE capacity and builds PCE capabilities</w:t>
      </w:r>
    </w:p>
    <w:p w14:paraId="5CD9B771" w14:textId="77777777" w:rsidR="00AB3BE2" w:rsidRPr="00AE3F99" w:rsidRDefault="00AB3BE2" w:rsidP="00135760">
      <w:r w:rsidRPr="00AE3F99">
        <w:t>Can be managed by PCE staff without undue burden and/or creates valuable expertise or data for ongoing use.</w:t>
      </w:r>
    </w:p>
    <w:p w14:paraId="275F4BAF" w14:textId="77777777" w:rsidR="00AB3BE2" w:rsidRPr="00AE3F99" w:rsidRDefault="00AB3BE2" w:rsidP="00135760"/>
    <w:p w14:paraId="0DE7460E" w14:textId="17F0AC33" w:rsidR="00AB3BE2" w:rsidRPr="00AE3F99" w:rsidRDefault="00E748F8" w:rsidP="00135760">
      <w:pPr>
        <w:pStyle w:val="ListParagraph"/>
        <w:numPr>
          <w:ilvl w:val="0"/>
          <w:numId w:val="25"/>
        </w:numPr>
      </w:pPr>
      <w:r w:rsidRPr="00AE3F99">
        <w:t>Additional benefits</w:t>
      </w:r>
    </w:p>
    <w:p w14:paraId="7C773384" w14:textId="292CE6F5" w:rsidR="00871B87" w:rsidRPr="00AE3F99" w:rsidRDefault="00AB3BE2" w:rsidP="00135760">
      <w:r w:rsidRPr="00AE3F99">
        <w:t>Supports community resilience; is innovative, scalable and replicable; and/or addresses program gaps in the region.</w:t>
      </w:r>
      <w:r w:rsidR="00E748F8" w:rsidRPr="00AE3F99">
        <w:t xml:space="preserve"> </w:t>
      </w:r>
    </w:p>
    <w:p w14:paraId="04004425" w14:textId="77777777" w:rsidR="00AB3BE2" w:rsidRPr="00AE3F99" w:rsidRDefault="00AB3BE2" w:rsidP="00135760"/>
    <w:p w14:paraId="1942F637" w14:textId="77777777" w:rsidR="00AB3BE2" w:rsidRPr="00AE3F99" w:rsidRDefault="00AB3BE2" w:rsidP="00135760">
      <w:pPr>
        <w:pStyle w:val="ListParagraph"/>
        <w:numPr>
          <w:ilvl w:val="0"/>
          <w:numId w:val="25"/>
        </w:numPr>
      </w:pPr>
      <w:r w:rsidRPr="00AE3F99">
        <w:t>Credentials and Approach</w:t>
      </w:r>
    </w:p>
    <w:p w14:paraId="38EC6D5A" w14:textId="7F4953F2" w:rsidR="00AB3BE2" w:rsidRPr="00AE3F99" w:rsidRDefault="00AB3BE2" w:rsidP="00135760">
      <w:r w:rsidRPr="00AE3F99">
        <w:t xml:space="preserve">The applicant and its partners have the demonstrated capacity to execute the proposed project, the budget is </w:t>
      </w:r>
      <w:r w:rsidR="000C7325" w:rsidRPr="00AE3F99">
        <w:t>realistic</w:t>
      </w:r>
      <w:r w:rsidRPr="00AE3F99">
        <w:t xml:space="preserve"> and appropriate, objectives and approach are feasible</w:t>
      </w:r>
      <w:r w:rsidR="000C7325" w:rsidRPr="00AE3F99">
        <w:t>, and evaluation approach is credible</w:t>
      </w:r>
      <w:r w:rsidRPr="00AE3F99">
        <w:t>.</w:t>
      </w:r>
    </w:p>
    <w:p w14:paraId="612BF993" w14:textId="77777777" w:rsidR="00AB3BE2" w:rsidRPr="00AE3F99" w:rsidRDefault="00AB3BE2" w:rsidP="00135760"/>
    <w:p w14:paraId="6F125B1C" w14:textId="77777777" w:rsidR="00871B87" w:rsidRPr="00AE3F99" w:rsidRDefault="00871B87" w:rsidP="00135760"/>
    <w:p w14:paraId="2E3E31CA" w14:textId="77777777" w:rsidR="00D137E5" w:rsidRPr="00AE3F99" w:rsidRDefault="00D137E5" w:rsidP="0050400A">
      <w:pPr>
        <w:pStyle w:val="Heading1"/>
      </w:pPr>
      <w:r w:rsidRPr="00AE3F99">
        <w:t>Narrative Instructions</w:t>
      </w:r>
    </w:p>
    <w:p w14:paraId="02DCC232" w14:textId="24790B76" w:rsidR="009A53F8" w:rsidRPr="00AE3F99" w:rsidRDefault="002E6619" w:rsidP="00135760">
      <w:r w:rsidRPr="00AE3F99">
        <w:t>The proposal n</w:t>
      </w:r>
      <w:r w:rsidR="009A53F8" w:rsidRPr="00AE3F99">
        <w:t>arrative must be submitted</w:t>
      </w:r>
      <w:r w:rsidR="00364F36">
        <w:t xml:space="preserve"> as MS Word documents with a </w:t>
      </w:r>
      <w:proofErr w:type="gramStart"/>
      <w:r w:rsidR="00364F36">
        <w:t xml:space="preserve">10 </w:t>
      </w:r>
      <w:r w:rsidR="009A53F8" w:rsidRPr="00AE3F99">
        <w:t>page</w:t>
      </w:r>
      <w:proofErr w:type="gramEnd"/>
      <w:r w:rsidR="009A53F8" w:rsidRPr="00AE3F99">
        <w:t xml:space="preserve"> maximum</w:t>
      </w:r>
      <w:r w:rsidR="00E748F8" w:rsidRPr="00AE3F99">
        <w:t xml:space="preserve"> (excluding cover page)</w:t>
      </w:r>
      <w:r w:rsidR="009A53F8" w:rsidRPr="00AE3F99">
        <w:t>, 11 point Arial font, and 1 inch borders.</w:t>
      </w:r>
      <w:r w:rsidRPr="00AE3F99">
        <w:t xml:space="preserve">  The narrative must include the following:</w:t>
      </w:r>
    </w:p>
    <w:p w14:paraId="6A12A186" w14:textId="77777777" w:rsidR="009A53F8" w:rsidRPr="00AE3F99" w:rsidRDefault="009A53F8" w:rsidP="00135760"/>
    <w:p w14:paraId="67CB75B6" w14:textId="77777777" w:rsidR="009A53F8" w:rsidRPr="00AE3F99" w:rsidRDefault="009A53F8" w:rsidP="0050400A">
      <w:pPr>
        <w:pStyle w:val="Heading2"/>
      </w:pPr>
      <w:r w:rsidRPr="00AE3F99">
        <w:lastRenderedPageBreak/>
        <w:t>Required sections</w:t>
      </w:r>
    </w:p>
    <w:p w14:paraId="036FA468" w14:textId="77777777" w:rsidR="000B27F4" w:rsidRPr="00AE3F99" w:rsidRDefault="000B27F4" w:rsidP="00135760"/>
    <w:p w14:paraId="31A745E2" w14:textId="77777777" w:rsidR="00FF4D05" w:rsidRPr="00AE3F99" w:rsidRDefault="00FF4D05" w:rsidP="00135760">
      <w:pPr>
        <w:pStyle w:val="ListParagraph"/>
        <w:numPr>
          <w:ilvl w:val="0"/>
          <w:numId w:val="20"/>
        </w:numPr>
      </w:pPr>
      <w:r w:rsidRPr="00AE3F99">
        <w:t xml:space="preserve">Cover Page </w:t>
      </w:r>
    </w:p>
    <w:p w14:paraId="22C0D536" w14:textId="77777777" w:rsidR="0030539F" w:rsidRPr="00AE3F99" w:rsidRDefault="0030539F" w:rsidP="00135760">
      <w:pPr>
        <w:pStyle w:val="ListParagraph"/>
        <w:numPr>
          <w:ilvl w:val="0"/>
          <w:numId w:val="20"/>
        </w:numPr>
      </w:pPr>
      <w:r w:rsidRPr="00AE3F99">
        <w:t xml:space="preserve">Description of the </w:t>
      </w:r>
      <w:r w:rsidR="00F638C4" w:rsidRPr="00AE3F99">
        <w:t>project</w:t>
      </w:r>
    </w:p>
    <w:p w14:paraId="5AC031C9" w14:textId="77777777" w:rsidR="00F638C4" w:rsidRPr="00AE3F99" w:rsidRDefault="00F638C4" w:rsidP="00135760">
      <w:pPr>
        <w:pStyle w:val="ListParagraph"/>
        <w:numPr>
          <w:ilvl w:val="0"/>
          <w:numId w:val="20"/>
        </w:numPr>
      </w:pPr>
      <w:r w:rsidRPr="00AE3F99">
        <w:t>Outcomes</w:t>
      </w:r>
    </w:p>
    <w:p w14:paraId="1A42DC90" w14:textId="77777777" w:rsidR="00F638C4" w:rsidRPr="00AE3F99" w:rsidRDefault="00F638C4" w:rsidP="00135760">
      <w:pPr>
        <w:pStyle w:val="ListParagraph"/>
        <w:numPr>
          <w:ilvl w:val="1"/>
          <w:numId w:val="20"/>
        </w:numPr>
      </w:pPr>
      <w:r w:rsidRPr="00AE3F99">
        <w:t xml:space="preserve">Accelerates GHG reductions and renewables </w:t>
      </w:r>
    </w:p>
    <w:p w14:paraId="12145369" w14:textId="77777777" w:rsidR="00F638C4" w:rsidRPr="00AE3F99" w:rsidRDefault="00F638C4" w:rsidP="00135760">
      <w:pPr>
        <w:pStyle w:val="ListParagraph"/>
        <w:numPr>
          <w:ilvl w:val="1"/>
          <w:numId w:val="20"/>
        </w:numPr>
      </w:pPr>
      <w:r w:rsidRPr="00AE3F99">
        <w:t>Delivers community benefits</w:t>
      </w:r>
    </w:p>
    <w:p w14:paraId="30D0A77B" w14:textId="77777777" w:rsidR="00F638C4" w:rsidRPr="00AE3F99" w:rsidRDefault="00F638C4" w:rsidP="00135760">
      <w:pPr>
        <w:pStyle w:val="ListParagraph"/>
        <w:numPr>
          <w:ilvl w:val="1"/>
          <w:numId w:val="20"/>
        </w:numPr>
      </w:pPr>
      <w:r w:rsidRPr="00AE3F99">
        <w:t>Supports PCE’s load serving needs</w:t>
      </w:r>
    </w:p>
    <w:p w14:paraId="4FB5E656" w14:textId="77777777" w:rsidR="00F638C4" w:rsidRPr="00AE3F99" w:rsidRDefault="00F638C4" w:rsidP="00135760">
      <w:pPr>
        <w:pStyle w:val="ListParagraph"/>
        <w:numPr>
          <w:ilvl w:val="1"/>
          <w:numId w:val="20"/>
        </w:numPr>
      </w:pPr>
      <w:r w:rsidRPr="00AE3F99">
        <w:t>Additional benefits</w:t>
      </w:r>
    </w:p>
    <w:p w14:paraId="1052441E" w14:textId="77777777" w:rsidR="00F638C4" w:rsidRPr="00AE3F99" w:rsidRDefault="00F638C4" w:rsidP="00135760">
      <w:pPr>
        <w:pStyle w:val="ListParagraph"/>
        <w:numPr>
          <w:ilvl w:val="0"/>
          <w:numId w:val="20"/>
        </w:numPr>
      </w:pPr>
      <w:r w:rsidRPr="00AE3F99">
        <w:t xml:space="preserve">PCE Implementation Requirements </w:t>
      </w:r>
    </w:p>
    <w:p w14:paraId="3F0BE254" w14:textId="77777777" w:rsidR="0030539F" w:rsidRPr="00AE3F99" w:rsidRDefault="0030539F" w:rsidP="00135760">
      <w:pPr>
        <w:pStyle w:val="ListParagraph"/>
        <w:numPr>
          <w:ilvl w:val="0"/>
          <w:numId w:val="20"/>
        </w:numPr>
      </w:pPr>
      <w:r w:rsidRPr="00AE3F99">
        <w:t>Qualifications</w:t>
      </w:r>
    </w:p>
    <w:p w14:paraId="45F68988" w14:textId="441D5E08" w:rsidR="0030539F" w:rsidRPr="00AE3F99" w:rsidRDefault="000C7325" w:rsidP="00135760">
      <w:pPr>
        <w:pStyle w:val="ListParagraph"/>
        <w:numPr>
          <w:ilvl w:val="0"/>
          <w:numId w:val="20"/>
        </w:numPr>
      </w:pPr>
      <w:r w:rsidRPr="00AE3F99">
        <w:t>Evaluation</w:t>
      </w:r>
    </w:p>
    <w:p w14:paraId="1E06F828" w14:textId="43D109F2" w:rsidR="005366F4" w:rsidRPr="00AE3F99" w:rsidRDefault="00246650" w:rsidP="00135760">
      <w:pPr>
        <w:pStyle w:val="ListParagraph"/>
        <w:numPr>
          <w:ilvl w:val="0"/>
          <w:numId w:val="20"/>
        </w:numPr>
      </w:pPr>
      <w:r w:rsidRPr="00AE3F99">
        <w:t xml:space="preserve">Metrics and </w:t>
      </w:r>
      <w:r w:rsidR="005366F4" w:rsidRPr="00AE3F99">
        <w:t xml:space="preserve">Assumptions </w:t>
      </w:r>
    </w:p>
    <w:p w14:paraId="0C6AD087" w14:textId="77777777" w:rsidR="0030539F" w:rsidRPr="00AE3F99" w:rsidRDefault="0030539F" w:rsidP="00135760"/>
    <w:p w14:paraId="283C9EEF" w14:textId="77777777" w:rsidR="00F638C4" w:rsidRPr="00AE3F99" w:rsidRDefault="00F638C4" w:rsidP="0050400A">
      <w:pPr>
        <w:pStyle w:val="Heading2"/>
      </w:pPr>
      <w:r w:rsidRPr="00AE3F99">
        <w:t>Section Descriptions</w:t>
      </w:r>
    </w:p>
    <w:p w14:paraId="10A66EC6" w14:textId="113FC775" w:rsidR="00FF4D05" w:rsidRPr="00AE3F99" w:rsidRDefault="00FF4D05" w:rsidP="003C0411">
      <w:pPr>
        <w:pStyle w:val="Heading3"/>
      </w:pPr>
      <w:r w:rsidRPr="00AE3F99">
        <w:t>Cover Page</w:t>
      </w:r>
    </w:p>
    <w:p w14:paraId="56D387A7" w14:textId="40353BA4" w:rsidR="00FF4D05" w:rsidRPr="00AE3F99" w:rsidRDefault="00FF4D05" w:rsidP="00FF4D05">
      <w:r w:rsidRPr="00AE3F99">
        <w:t>Include one cover page which includes the project name, applicant organization, key partners, and point of contact (name, title, organization, phone, email).</w:t>
      </w:r>
      <w:r w:rsidR="00E748F8" w:rsidRPr="00AE3F99">
        <w:t xml:space="preserve"> The cover page does not count against the maximum page count.</w:t>
      </w:r>
    </w:p>
    <w:p w14:paraId="5CA0DD76" w14:textId="77777777" w:rsidR="00FF4D05" w:rsidRPr="00AE3F99" w:rsidRDefault="00FF4D05" w:rsidP="00FF4D05"/>
    <w:p w14:paraId="6CB3396E" w14:textId="54E2821D" w:rsidR="00F638C4" w:rsidRPr="00AE3F99" w:rsidRDefault="00F638C4" w:rsidP="003C0411">
      <w:pPr>
        <w:pStyle w:val="Heading3"/>
      </w:pPr>
      <w:r w:rsidRPr="00AE3F99">
        <w:t>Description of Project</w:t>
      </w:r>
    </w:p>
    <w:p w14:paraId="32AF2DB8" w14:textId="4C4D40BF" w:rsidR="00F638C4" w:rsidRPr="00AE3F99" w:rsidRDefault="002E6619" w:rsidP="00135760">
      <w:r w:rsidRPr="00AE3F99">
        <w:t>Include a complete description of the project. This must include objectives, roles of partners, and sequence of activities to execute the project.</w:t>
      </w:r>
    </w:p>
    <w:p w14:paraId="28DA450E" w14:textId="7257E9DA" w:rsidR="002E6619" w:rsidRDefault="002E6619" w:rsidP="00135760"/>
    <w:p w14:paraId="4B26EC53" w14:textId="1A3E8C0B" w:rsidR="00EC7076" w:rsidRPr="00AE3F99" w:rsidRDefault="00EC7076" w:rsidP="00135760">
      <w:pPr>
        <w:pStyle w:val="Heading3"/>
      </w:pPr>
      <w:r>
        <w:t>Outcomes</w:t>
      </w:r>
    </w:p>
    <w:p w14:paraId="0579AFF5" w14:textId="77506C8C" w:rsidR="00F638C4" w:rsidRPr="00AE3F99" w:rsidRDefault="00F638C4" w:rsidP="003C0411">
      <w:pPr>
        <w:pStyle w:val="Heading3"/>
        <w:numPr>
          <w:ilvl w:val="0"/>
          <w:numId w:val="39"/>
        </w:numPr>
      </w:pPr>
      <w:r w:rsidRPr="00AE3F99">
        <w:t>Accelerates GHG reductions and renewables</w:t>
      </w:r>
    </w:p>
    <w:p w14:paraId="74E06F49" w14:textId="7129D61C" w:rsidR="002C388D" w:rsidRDefault="007554FA" w:rsidP="000E6A88">
      <w:pPr>
        <w:pStyle w:val="ListParagraph"/>
      </w:pPr>
      <w:r w:rsidRPr="00AE3F99">
        <w:t>Discuss how the project d</w:t>
      </w:r>
      <w:r w:rsidR="00135760" w:rsidRPr="00AE3F99">
        <w:t>elivers clear quantifiable GHG reductions and/or renewables in a cost-effective manner.</w:t>
      </w:r>
      <w:r w:rsidRPr="00AE3F99">
        <w:t xml:space="preserve"> This may include how the project supports PCE’s pro</w:t>
      </w:r>
      <w:r w:rsidR="000A5E22" w:rsidRPr="00AE3F99">
        <w:t xml:space="preserve">curement </w:t>
      </w:r>
      <w:r w:rsidRPr="00AE3F99">
        <w:t>g</w:t>
      </w:r>
      <w:r w:rsidR="000A5E22" w:rsidRPr="00AE3F99">
        <w:t>oals</w:t>
      </w:r>
      <w:r w:rsidR="002C388D">
        <w:t xml:space="preserve"> as defined in the PCE board goals</w:t>
      </w:r>
      <w:r w:rsidR="000A5E22" w:rsidRPr="00AE3F99">
        <w:t xml:space="preserve">: </w:t>
      </w:r>
    </w:p>
    <w:p w14:paraId="48B04CEE" w14:textId="108E0751" w:rsidR="002C388D" w:rsidRDefault="00736EB6" w:rsidP="000E6A88">
      <w:pPr>
        <w:pStyle w:val="ListParagraph"/>
        <w:numPr>
          <w:ilvl w:val="0"/>
          <w:numId w:val="40"/>
        </w:numPr>
        <w:ind w:left="1350"/>
      </w:pPr>
      <w:r>
        <w:t>Creating 20 MW of new local p</w:t>
      </w:r>
      <w:r w:rsidR="000A5E22" w:rsidRPr="00AE3F99">
        <w:t>ower by 2025</w:t>
      </w:r>
    </w:p>
    <w:p w14:paraId="1D849F66" w14:textId="7A5AE7F0" w:rsidR="002C388D" w:rsidRDefault="000A5E22" w:rsidP="000E6A88">
      <w:pPr>
        <w:pStyle w:val="ListParagraph"/>
        <w:numPr>
          <w:ilvl w:val="0"/>
          <w:numId w:val="40"/>
        </w:numPr>
        <w:ind w:left="1350"/>
      </w:pPr>
      <w:r w:rsidRPr="00AE3F99">
        <w:t>100% G</w:t>
      </w:r>
      <w:r w:rsidR="00736EB6">
        <w:t>HG-f</w:t>
      </w:r>
      <w:r w:rsidRPr="00AE3F99">
        <w:t xml:space="preserve">ree </w:t>
      </w:r>
      <w:r w:rsidR="00736EB6">
        <w:t>p</w:t>
      </w:r>
      <w:r w:rsidRPr="00AE3F99">
        <w:t>ower for 2021</w:t>
      </w:r>
    </w:p>
    <w:p w14:paraId="53CFEF39" w14:textId="4D009774" w:rsidR="002C388D" w:rsidRDefault="00736EB6" w:rsidP="000E6A88">
      <w:pPr>
        <w:pStyle w:val="ListParagraph"/>
        <w:numPr>
          <w:ilvl w:val="0"/>
          <w:numId w:val="40"/>
        </w:numPr>
        <w:ind w:left="1350"/>
      </w:pPr>
      <w:r>
        <w:t>100% renewable e</w:t>
      </w:r>
      <w:r w:rsidR="000A5E22" w:rsidRPr="00AE3F99">
        <w:t>nergy by 2025</w:t>
      </w:r>
      <w:r w:rsidR="007554FA" w:rsidRPr="00AE3F99">
        <w:t xml:space="preserve">. </w:t>
      </w:r>
    </w:p>
    <w:p w14:paraId="1E844E67" w14:textId="77777777" w:rsidR="000E6A88" w:rsidRDefault="000E6A88" w:rsidP="000E6A88">
      <w:pPr>
        <w:pStyle w:val="ListParagraph"/>
      </w:pPr>
    </w:p>
    <w:p w14:paraId="47CAB2B5" w14:textId="6386C170" w:rsidR="00135760" w:rsidRPr="00AE3F99" w:rsidRDefault="000A5E22" w:rsidP="00F81ED2">
      <w:pPr>
        <w:pStyle w:val="ListParagraph"/>
      </w:pPr>
      <w:r w:rsidRPr="00AE3F99">
        <w:t xml:space="preserve">A PCE local power project is defined as a carbon-free, renewable energy project. </w:t>
      </w:r>
      <w:r w:rsidR="00D35A33">
        <w:t xml:space="preserve">Note that PCE does </w:t>
      </w:r>
      <w:r w:rsidR="00D35A33" w:rsidRPr="005D0A44">
        <w:rPr>
          <w:u w:val="single"/>
        </w:rPr>
        <w:t>not</w:t>
      </w:r>
      <w:r w:rsidR="00D35A33">
        <w:t xml:space="preserve"> plan to pursue programs which are currently delivered through California Public Utility Commission regulated programs but may complement such programs where appropriate. In addition, transportation fuel and natural gas are recognized as the top two contributors to GHGs. Where GHGs associated with electricity are proposed for reduction, applicants should consider that the emissions impact is lower with a cleaner grid, especially during hours when renewables are generating power</w:t>
      </w:r>
      <w:r w:rsidR="00F81ED2">
        <w:t xml:space="preserve"> (see </w:t>
      </w:r>
      <w:hyperlink r:id="rId13" w:history="1">
        <w:r w:rsidR="00F81ED2" w:rsidRPr="00F81ED2">
          <w:rPr>
            <w:rStyle w:val="Hyperlink"/>
          </w:rPr>
          <w:t>CAISO Emissions website</w:t>
        </w:r>
      </w:hyperlink>
      <w:r w:rsidR="00F81ED2">
        <w:t>)</w:t>
      </w:r>
      <w:r w:rsidR="00D35A33">
        <w:t>.</w:t>
      </w:r>
    </w:p>
    <w:p w14:paraId="1D89DDCD" w14:textId="4D0ED2C5" w:rsidR="00246650" w:rsidRPr="00AE3F99" w:rsidRDefault="00246650" w:rsidP="000E6A88">
      <w:pPr>
        <w:ind w:left="720"/>
      </w:pPr>
    </w:p>
    <w:p w14:paraId="4CB8AC7A" w14:textId="7AB38648" w:rsidR="00246650" w:rsidRPr="00AE3F99" w:rsidRDefault="002C388D" w:rsidP="008B2F07">
      <w:pPr>
        <w:pStyle w:val="ListParagraph"/>
        <w:ind w:left="0"/>
      </w:pPr>
      <w:r>
        <w:t>The proposal should q</w:t>
      </w:r>
      <w:r w:rsidR="00246650" w:rsidRPr="00AE3F99">
        <w:t>uantify the GHG reductions and cost effectiveness</w:t>
      </w:r>
      <w:r>
        <w:t xml:space="preserve"> and include backup</w:t>
      </w:r>
      <w:r w:rsidR="00E06386">
        <w:t xml:space="preserve"> </w:t>
      </w:r>
      <w:r>
        <w:t>calculations</w:t>
      </w:r>
      <w:r w:rsidR="00246650" w:rsidRPr="00AE3F99">
        <w:t>.</w:t>
      </w:r>
    </w:p>
    <w:p w14:paraId="5289429E" w14:textId="77777777" w:rsidR="00135760" w:rsidRPr="00AE3F99" w:rsidRDefault="00135760" w:rsidP="008B2F07"/>
    <w:p w14:paraId="286001C1" w14:textId="48E8084F" w:rsidR="00F638C4" w:rsidRPr="00AE3F99" w:rsidRDefault="00EC7076" w:rsidP="008B2F07">
      <w:pPr>
        <w:pStyle w:val="Heading3"/>
        <w:numPr>
          <w:ilvl w:val="0"/>
          <w:numId w:val="0"/>
        </w:numPr>
      </w:pPr>
      <w:r>
        <w:lastRenderedPageBreak/>
        <w:t xml:space="preserve">b)   </w:t>
      </w:r>
      <w:r w:rsidR="00F638C4" w:rsidRPr="00AE3F99">
        <w:t>Delivers community benefits</w:t>
      </w:r>
    </w:p>
    <w:p w14:paraId="008EDB5A" w14:textId="28BFA312" w:rsidR="00135760" w:rsidRPr="00AE3F99" w:rsidRDefault="007554FA" w:rsidP="008B2F07">
      <w:pPr>
        <w:pStyle w:val="ListParagraph"/>
        <w:ind w:left="0"/>
      </w:pPr>
      <w:r w:rsidRPr="00AE3F99">
        <w:t xml:space="preserve">Discuss how the project </w:t>
      </w:r>
      <w:r w:rsidR="00135760" w:rsidRPr="00AE3F99">
        <w:t xml:space="preserve">provides community benefits including delivering tangible benefits to low income </w:t>
      </w:r>
      <w:r w:rsidR="007959EA" w:rsidRPr="00AE3F99">
        <w:t xml:space="preserve">and vulnerable </w:t>
      </w:r>
      <w:r w:rsidR="00135760" w:rsidRPr="00AE3F99">
        <w:t>communities, develop</w:t>
      </w:r>
      <w:r w:rsidR="002C388D">
        <w:t>ing</w:t>
      </w:r>
      <w:r w:rsidR="00135760" w:rsidRPr="00AE3F99">
        <w:t xml:space="preserve"> </w:t>
      </w:r>
      <w:r w:rsidR="002C388D">
        <w:t xml:space="preserve">the local </w:t>
      </w:r>
      <w:r w:rsidR="00135760" w:rsidRPr="00AE3F99">
        <w:t>workforce (including aligning with PCE workforce policy), and/or serv</w:t>
      </w:r>
      <w:r w:rsidR="002C388D">
        <w:t>ing</w:t>
      </w:r>
      <w:r w:rsidR="00135760" w:rsidRPr="00AE3F99">
        <w:t xml:space="preserve"> customers across PCE’s geography.</w:t>
      </w:r>
    </w:p>
    <w:p w14:paraId="50FFD0E2" w14:textId="00FD5296" w:rsidR="002A5BD7" w:rsidRPr="00AE3F99" w:rsidRDefault="002A5BD7" w:rsidP="008B2F07"/>
    <w:p w14:paraId="3A6541ED" w14:textId="46ED3E79" w:rsidR="00135760" w:rsidRPr="00AE3F99" w:rsidRDefault="002A5BD7" w:rsidP="008B2F07">
      <w:pPr>
        <w:pStyle w:val="ListParagraph"/>
        <w:ind w:left="0"/>
      </w:pPr>
      <w:r w:rsidRPr="00AE3F99">
        <w:t>Specify what types of PCE customers (residential, small business, large commercial) can be served and if possible, h</w:t>
      </w:r>
      <w:r w:rsidR="000A5E22" w:rsidRPr="00AE3F99">
        <w:t>ow many PCE customers can participate in the program given your stated budge</w:t>
      </w:r>
      <w:r w:rsidRPr="00AE3F99">
        <w:t>t.</w:t>
      </w:r>
      <w:r w:rsidR="000A5E22" w:rsidRPr="00AE3F99">
        <w:t xml:space="preserve"> How many could potentially be served during a full-scale implementation?</w:t>
      </w:r>
      <w:r w:rsidRPr="00AE3F99">
        <w:t xml:space="preserve">  Specify where </w:t>
      </w:r>
      <w:r w:rsidR="00135760" w:rsidRPr="00AE3F99">
        <w:t>in San Mateo County eligible customers are located. If your project favors one geographic area over others, please briefly explain why.</w:t>
      </w:r>
    </w:p>
    <w:p w14:paraId="1054B07A" w14:textId="1C02E26F" w:rsidR="00135760" w:rsidRPr="00AE3F99" w:rsidRDefault="00135760" w:rsidP="008B2F07"/>
    <w:p w14:paraId="6E8CBB1E" w14:textId="26C8203D" w:rsidR="00135760" w:rsidRPr="00AE3F99" w:rsidRDefault="00135760" w:rsidP="008B2F07">
      <w:pPr>
        <w:pStyle w:val="ListParagraph"/>
        <w:ind w:left="0"/>
      </w:pPr>
      <w:r w:rsidRPr="00AE3F99">
        <w:t xml:space="preserve">All projects should comply with the </w:t>
      </w:r>
      <w:hyperlink r:id="rId14" w:history="1">
        <w:r w:rsidRPr="00364F36">
          <w:rPr>
            <w:rStyle w:val="Hyperlink"/>
          </w:rPr>
          <w:t>PCE workforce policy</w:t>
        </w:r>
      </w:hyperlink>
      <w:r w:rsidRPr="00AE3F99">
        <w:t xml:space="preserve">, available on the </w:t>
      </w:r>
      <w:r w:rsidRPr="00364F36">
        <w:t>PCE website</w:t>
      </w:r>
      <w:r w:rsidRPr="00AE3F99">
        <w:t xml:space="preserve">. Please provide a brief description of how your proposed program meets required standards listed below for any relevant program type. Contractors or subcontractors must make best efforts to utilize local businesses, union labor, multi-trade agreements, apprenticeship programs, and fair compensation practices including proper assignment of work to crafts that traditionally perform the work. </w:t>
      </w:r>
    </w:p>
    <w:p w14:paraId="35B572F3" w14:textId="019274E6" w:rsidR="00135760" w:rsidRPr="00AE3F99" w:rsidRDefault="00135760" w:rsidP="008B2F07"/>
    <w:p w14:paraId="2686FEE3" w14:textId="6D7D4BB8" w:rsidR="006D6EBA" w:rsidRDefault="006D6EBA" w:rsidP="008B2F07">
      <w:pPr>
        <w:pStyle w:val="ListParagraph"/>
        <w:ind w:left="0"/>
      </w:pPr>
      <w:r w:rsidRPr="00AE3F99">
        <w:t xml:space="preserve">San Mateo County (SMC) has developed a screening tool to identify vulnerable communities within the County. The </w:t>
      </w:r>
      <w:hyperlink r:id="rId15" w:history="1">
        <w:r w:rsidRPr="00AE3F99">
          <w:rPr>
            <w:rStyle w:val="Hyperlink"/>
          </w:rPr>
          <w:t>Community Vulnerability Index</w:t>
        </w:r>
      </w:hyperlink>
      <w:r w:rsidRPr="00AE3F99">
        <w:t xml:space="preserve"> (CVI) provides a granular view of vulnerable populations in SMC by looking at health insurance coverage, educational attainment, supplemental security income, gross rent as a percentage of income, poverty, unemployment, and disability status</w:t>
      </w:r>
      <w:r w:rsidR="00AE3F99">
        <w:t xml:space="preserve"> (</w:t>
      </w:r>
      <w:r w:rsidR="00C57047">
        <w:t xml:space="preserve">CVI website: </w:t>
      </w:r>
      <w:hyperlink r:id="rId16" w:history="1">
        <w:r w:rsidR="00C57047" w:rsidRPr="00E1620E">
          <w:rPr>
            <w:rStyle w:val="Hyperlink"/>
            <w:szCs w:val="22"/>
          </w:rPr>
          <w:t>http://cmo.smcgov.org/cvi</w:t>
        </w:r>
      </w:hyperlink>
      <w:r w:rsidR="00C57047" w:rsidRPr="00E1620E">
        <w:rPr>
          <w:szCs w:val="22"/>
        </w:rPr>
        <w:t xml:space="preserve"> </w:t>
      </w:r>
      <w:r w:rsidR="00C57047">
        <w:t>and m</w:t>
      </w:r>
      <w:r w:rsidR="00AE3F99">
        <w:t xml:space="preserve">ore information </w:t>
      </w:r>
      <w:r w:rsidR="00C57047">
        <w:t>on the data:</w:t>
      </w:r>
      <w:r w:rsidR="00AE3F99">
        <w:t xml:space="preserve"> </w:t>
      </w:r>
      <w:hyperlink r:id="rId17" w:history="1">
        <w:r w:rsidR="00AE3F99" w:rsidRPr="002C265C">
          <w:rPr>
            <w:rStyle w:val="Hyperlink"/>
          </w:rPr>
          <w:t>https://tinyurl.com/SMCoCVI</w:t>
        </w:r>
      </w:hyperlink>
      <w:r w:rsidR="00AE3F99">
        <w:t>)</w:t>
      </w:r>
      <w:r w:rsidRPr="00AE3F99">
        <w:t>. Overall results point to 10 areas within the County as especially burdened (see map below).</w:t>
      </w:r>
      <w:r w:rsidRPr="00AE3F99">
        <w:rPr>
          <w:rStyle w:val="EndnoteReference"/>
        </w:rPr>
        <w:t xml:space="preserve"> </w:t>
      </w:r>
    </w:p>
    <w:p w14:paraId="09186615" w14:textId="77777777" w:rsidR="008B2F07" w:rsidRDefault="008B2F07" w:rsidP="008B2F07">
      <w:pPr>
        <w:pStyle w:val="ListParagraph"/>
        <w:ind w:left="0"/>
      </w:pPr>
    </w:p>
    <w:p w14:paraId="6876EBC0" w14:textId="77777777" w:rsidR="008B2F07" w:rsidRPr="00AE3F99" w:rsidRDefault="008B2F07" w:rsidP="008B2F07">
      <w:pPr>
        <w:pStyle w:val="ListParagraph"/>
        <w:ind w:left="0"/>
      </w:pPr>
    </w:p>
    <w:tbl>
      <w:tblPr>
        <w:tblStyle w:val="TableGrid"/>
        <w:tblW w:w="1451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9301"/>
      </w:tblGrid>
      <w:tr w:rsidR="007959EA" w:rsidRPr="00AE3F99" w14:paraId="54F95DE0" w14:textId="77777777" w:rsidTr="00443B50">
        <w:tc>
          <w:tcPr>
            <w:tcW w:w="5216" w:type="dxa"/>
          </w:tcPr>
          <w:p w14:paraId="198425AA" w14:textId="4D18496F" w:rsidR="007959EA" w:rsidRPr="00AE3F99" w:rsidRDefault="007959EA" w:rsidP="008B2F07">
            <w:pPr>
              <w:pStyle w:val="ListParagraph"/>
              <w:ind w:left="0"/>
            </w:pPr>
            <w:r w:rsidRPr="00AE3F99">
              <w:rPr>
                <w:noProof/>
                <w:lang w:eastAsia="zh-CN"/>
              </w:rPr>
              <w:drawing>
                <wp:inline distT="0" distB="0" distL="0" distR="0" wp14:anchorId="37C6073C" wp14:editId="0CE81DD3">
                  <wp:extent cx="2260918" cy="2312857"/>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3979" cy="2346677"/>
                          </a:xfrm>
                          <a:prstGeom prst="rect">
                            <a:avLst/>
                          </a:prstGeom>
                        </pic:spPr>
                      </pic:pic>
                    </a:graphicData>
                  </a:graphic>
                </wp:inline>
              </w:drawing>
            </w:r>
          </w:p>
        </w:tc>
        <w:tc>
          <w:tcPr>
            <w:tcW w:w="9301" w:type="dxa"/>
          </w:tcPr>
          <w:tbl>
            <w:tblPr>
              <w:tblW w:w="0" w:type="auto"/>
              <w:tblInd w:w="332" w:type="dxa"/>
              <w:tblCellMar>
                <w:left w:w="0" w:type="dxa"/>
                <w:right w:w="0" w:type="dxa"/>
              </w:tblCellMar>
              <w:tblLook w:val="04A0" w:firstRow="1" w:lastRow="0" w:firstColumn="1" w:lastColumn="0" w:noHBand="0" w:noVBand="1"/>
            </w:tblPr>
            <w:tblGrid>
              <w:gridCol w:w="761"/>
              <w:gridCol w:w="957"/>
              <w:gridCol w:w="1552"/>
              <w:gridCol w:w="611"/>
            </w:tblGrid>
            <w:tr w:rsidR="00D22261" w14:paraId="4B04D116" w14:textId="77777777" w:rsidTr="00D22261">
              <w:tc>
                <w:tcPr>
                  <w:tcW w:w="761" w:type="dxa"/>
                  <w:tcBorders>
                    <w:top w:val="single" w:sz="4" w:space="0" w:color="CBCBCB"/>
                    <w:left w:val="single" w:sz="4" w:space="0" w:color="CBCBCB"/>
                    <w:bottom w:val="single" w:sz="4" w:space="0" w:color="CBCBCB"/>
                    <w:right w:val="single" w:sz="4" w:space="0" w:color="CBCBCB"/>
                  </w:tcBorders>
                  <w:shd w:val="clear" w:color="auto" w:fill="6CACDD"/>
                  <w:tcMar>
                    <w:top w:w="0" w:type="dxa"/>
                    <w:left w:w="75" w:type="dxa"/>
                    <w:bottom w:w="0" w:type="dxa"/>
                    <w:right w:w="75" w:type="dxa"/>
                  </w:tcMar>
                  <w:hideMark/>
                </w:tcPr>
                <w:p w14:paraId="48826E4E" w14:textId="77777777" w:rsidR="00D22261" w:rsidRDefault="00D22261" w:rsidP="008B2F07">
                  <w:pPr>
                    <w:spacing w:line="276" w:lineRule="auto"/>
                    <w:rPr>
                      <w:sz w:val="18"/>
                    </w:rPr>
                  </w:pPr>
                  <w:r>
                    <w:rPr>
                      <w:sz w:val="18"/>
                    </w:rPr>
                    <w:t>Census Tract</w:t>
                  </w:r>
                </w:p>
              </w:tc>
              <w:tc>
                <w:tcPr>
                  <w:tcW w:w="957" w:type="dxa"/>
                  <w:tcBorders>
                    <w:top w:val="single" w:sz="4" w:space="0" w:color="CBCBCB"/>
                    <w:left w:val="single" w:sz="4" w:space="0" w:color="CBCBCB"/>
                    <w:bottom w:val="single" w:sz="4" w:space="0" w:color="CBCBCB"/>
                    <w:right w:val="single" w:sz="4" w:space="0" w:color="CBCBCB"/>
                  </w:tcBorders>
                  <w:shd w:val="clear" w:color="auto" w:fill="6CACDD"/>
                  <w:tcMar>
                    <w:top w:w="0" w:type="dxa"/>
                    <w:left w:w="75" w:type="dxa"/>
                    <w:bottom w:w="0" w:type="dxa"/>
                    <w:right w:w="75" w:type="dxa"/>
                  </w:tcMar>
                  <w:hideMark/>
                </w:tcPr>
                <w:p w14:paraId="4ECE90A9" w14:textId="77777777" w:rsidR="00D22261" w:rsidRDefault="00D22261" w:rsidP="008B2F07">
                  <w:pPr>
                    <w:spacing w:line="276" w:lineRule="auto"/>
                    <w:rPr>
                      <w:sz w:val="18"/>
                    </w:rPr>
                  </w:pPr>
                  <w:r>
                    <w:rPr>
                      <w:sz w:val="18"/>
                    </w:rPr>
                    <w:t>Board District</w:t>
                  </w:r>
                </w:p>
              </w:tc>
              <w:tc>
                <w:tcPr>
                  <w:tcW w:w="1552" w:type="dxa"/>
                  <w:tcBorders>
                    <w:top w:val="single" w:sz="4" w:space="0" w:color="CBCBCB"/>
                    <w:left w:val="single" w:sz="4" w:space="0" w:color="CBCBCB"/>
                    <w:bottom w:val="single" w:sz="4" w:space="0" w:color="CBCBCB"/>
                    <w:right w:val="single" w:sz="4" w:space="0" w:color="CBCBCB"/>
                  </w:tcBorders>
                  <w:shd w:val="clear" w:color="auto" w:fill="6CACDD"/>
                  <w:tcMar>
                    <w:top w:w="0" w:type="dxa"/>
                    <w:left w:w="75" w:type="dxa"/>
                    <w:bottom w:w="0" w:type="dxa"/>
                    <w:right w:w="75" w:type="dxa"/>
                  </w:tcMar>
                  <w:hideMark/>
                </w:tcPr>
                <w:p w14:paraId="65907391" w14:textId="77777777" w:rsidR="00D22261" w:rsidRDefault="00D22261" w:rsidP="008B2F07">
                  <w:pPr>
                    <w:spacing w:line="276" w:lineRule="auto"/>
                    <w:rPr>
                      <w:sz w:val="18"/>
                    </w:rPr>
                  </w:pPr>
                  <w:r>
                    <w:rPr>
                      <w:sz w:val="18"/>
                    </w:rPr>
                    <w:t>City</w:t>
                  </w:r>
                </w:p>
              </w:tc>
              <w:tc>
                <w:tcPr>
                  <w:tcW w:w="611" w:type="dxa"/>
                  <w:tcBorders>
                    <w:top w:val="single" w:sz="4" w:space="0" w:color="CBCBCB"/>
                    <w:left w:val="single" w:sz="4" w:space="0" w:color="CBCBCB"/>
                    <w:bottom w:val="single" w:sz="4" w:space="0" w:color="CBCBCB"/>
                    <w:right w:val="single" w:sz="4" w:space="0" w:color="CBCBCB"/>
                  </w:tcBorders>
                  <w:shd w:val="clear" w:color="auto" w:fill="6CACDD"/>
                  <w:tcMar>
                    <w:top w:w="0" w:type="dxa"/>
                    <w:left w:w="75" w:type="dxa"/>
                    <w:bottom w:w="0" w:type="dxa"/>
                    <w:right w:w="75" w:type="dxa"/>
                  </w:tcMar>
                  <w:hideMark/>
                </w:tcPr>
                <w:p w14:paraId="71AE6926" w14:textId="77777777" w:rsidR="00D22261" w:rsidRDefault="00D22261" w:rsidP="008B2F07">
                  <w:pPr>
                    <w:spacing w:line="276" w:lineRule="auto"/>
                    <w:rPr>
                      <w:sz w:val="18"/>
                    </w:rPr>
                  </w:pPr>
                  <w:r>
                    <w:rPr>
                      <w:sz w:val="18"/>
                    </w:rPr>
                    <w:t>Value</w:t>
                  </w:r>
                </w:p>
              </w:tc>
            </w:tr>
            <w:tr w:rsidR="00D22261" w14:paraId="2C89D440"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12D6239E" w14:textId="77777777" w:rsidR="00D22261" w:rsidRDefault="00D22261" w:rsidP="008B2F07">
                  <w:pPr>
                    <w:spacing w:line="276" w:lineRule="auto"/>
                    <w:rPr>
                      <w:sz w:val="18"/>
                    </w:rPr>
                  </w:pPr>
                  <w:r>
                    <w:rPr>
                      <w:sz w:val="18"/>
                    </w:rPr>
                    <w:t>1</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3C212A15" w14:textId="77777777" w:rsidR="00D22261" w:rsidRDefault="00D22261" w:rsidP="008B2F07">
                  <w:pPr>
                    <w:spacing w:line="276" w:lineRule="auto"/>
                    <w:rPr>
                      <w:sz w:val="18"/>
                    </w:rPr>
                  </w:pPr>
                  <w:r>
                    <w:rPr>
                      <w:sz w:val="18"/>
                    </w:rPr>
                    <w:t>District 2</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5F583E9E" w14:textId="77777777" w:rsidR="00D22261" w:rsidRDefault="00D22261" w:rsidP="008B2F07">
                  <w:pPr>
                    <w:spacing w:line="276" w:lineRule="auto"/>
                    <w:jc w:val="left"/>
                    <w:rPr>
                      <w:sz w:val="18"/>
                    </w:rPr>
                  </w:pPr>
                  <w:r>
                    <w:rPr>
                      <w:sz w:val="18"/>
                    </w:rPr>
                    <w:t>San Mateo</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57672F2E" w14:textId="77777777" w:rsidR="00D22261" w:rsidRDefault="00D22261" w:rsidP="008B2F07">
                  <w:pPr>
                    <w:spacing w:line="276" w:lineRule="auto"/>
                    <w:rPr>
                      <w:sz w:val="18"/>
                    </w:rPr>
                  </w:pPr>
                  <w:r>
                    <w:rPr>
                      <w:sz w:val="18"/>
                    </w:rPr>
                    <w:t>69.2</w:t>
                  </w:r>
                </w:p>
              </w:tc>
            </w:tr>
            <w:tr w:rsidR="00D22261" w14:paraId="380DE92C"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3EA05B3D" w14:textId="77777777" w:rsidR="00D22261" w:rsidRDefault="00D22261" w:rsidP="008B2F07">
                  <w:pPr>
                    <w:spacing w:line="276" w:lineRule="auto"/>
                    <w:rPr>
                      <w:sz w:val="18"/>
                    </w:rPr>
                  </w:pPr>
                  <w:r>
                    <w:rPr>
                      <w:sz w:val="18"/>
                    </w:rPr>
                    <w:t>2</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28D911A5"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2A86C2A8" w14:textId="77777777" w:rsidR="00D22261" w:rsidRDefault="00D22261" w:rsidP="008B2F07">
                  <w:pPr>
                    <w:spacing w:line="276" w:lineRule="auto"/>
                    <w:jc w:val="left"/>
                    <w:rPr>
                      <w:sz w:val="18"/>
                    </w:rPr>
                  </w:pPr>
                  <w:r>
                    <w:rPr>
                      <w:sz w:val="18"/>
                    </w:rPr>
                    <w:t>North Fair Oaks</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0EE66719" w14:textId="77777777" w:rsidR="00D22261" w:rsidRDefault="00D22261" w:rsidP="008B2F07">
                  <w:pPr>
                    <w:spacing w:line="276" w:lineRule="auto"/>
                    <w:rPr>
                      <w:sz w:val="18"/>
                    </w:rPr>
                  </w:pPr>
                  <w:r>
                    <w:rPr>
                      <w:sz w:val="18"/>
                    </w:rPr>
                    <w:t>69.1</w:t>
                  </w:r>
                </w:p>
              </w:tc>
            </w:tr>
            <w:tr w:rsidR="00D22261" w14:paraId="2D0678C3"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08B71494" w14:textId="77777777" w:rsidR="00D22261" w:rsidRDefault="00D22261" w:rsidP="008B2F07">
                  <w:pPr>
                    <w:spacing w:line="276" w:lineRule="auto"/>
                    <w:rPr>
                      <w:sz w:val="18"/>
                    </w:rPr>
                  </w:pPr>
                  <w:r>
                    <w:rPr>
                      <w:sz w:val="18"/>
                    </w:rPr>
                    <w:t>3</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729D3234"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139BD6D3" w14:textId="77777777" w:rsidR="00D22261" w:rsidRDefault="00D22261" w:rsidP="008B2F07">
                  <w:pPr>
                    <w:spacing w:line="276" w:lineRule="auto"/>
                    <w:jc w:val="left"/>
                    <w:rPr>
                      <w:sz w:val="18"/>
                    </w:rPr>
                  </w:pPr>
                  <w:r>
                    <w:rPr>
                      <w:sz w:val="18"/>
                    </w:rPr>
                    <w:t>East Palo Alto</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5C8D1FB6" w14:textId="77777777" w:rsidR="00D22261" w:rsidRDefault="00D22261" w:rsidP="008B2F07">
                  <w:pPr>
                    <w:spacing w:line="276" w:lineRule="auto"/>
                    <w:rPr>
                      <w:sz w:val="18"/>
                    </w:rPr>
                  </w:pPr>
                  <w:r>
                    <w:rPr>
                      <w:sz w:val="18"/>
                    </w:rPr>
                    <w:t>69.1</w:t>
                  </w:r>
                </w:p>
              </w:tc>
            </w:tr>
            <w:tr w:rsidR="00D22261" w14:paraId="00B58B9A" w14:textId="77777777" w:rsidTr="00D22261">
              <w:trPr>
                <w:trHeight w:val="229"/>
              </w:trPr>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6C539D0A" w14:textId="77777777" w:rsidR="00D22261" w:rsidRDefault="00D22261" w:rsidP="008B2F07">
                  <w:pPr>
                    <w:spacing w:line="276" w:lineRule="auto"/>
                    <w:rPr>
                      <w:sz w:val="18"/>
                    </w:rPr>
                  </w:pPr>
                  <w:r>
                    <w:rPr>
                      <w:sz w:val="18"/>
                    </w:rPr>
                    <w:t>4</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5EBC7E6B"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004ABD65" w14:textId="77777777" w:rsidR="00D22261" w:rsidRDefault="00D22261" w:rsidP="008B2F07">
                  <w:pPr>
                    <w:spacing w:line="276" w:lineRule="auto"/>
                    <w:jc w:val="left"/>
                    <w:rPr>
                      <w:sz w:val="18"/>
                    </w:rPr>
                  </w:pPr>
                  <w:r>
                    <w:rPr>
                      <w:sz w:val="18"/>
                    </w:rPr>
                    <w:t>Redwood City</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4E507C18" w14:textId="77777777" w:rsidR="00D22261" w:rsidRDefault="00D22261" w:rsidP="008B2F07">
                  <w:pPr>
                    <w:spacing w:line="276" w:lineRule="auto"/>
                    <w:rPr>
                      <w:sz w:val="18"/>
                    </w:rPr>
                  </w:pPr>
                  <w:r>
                    <w:rPr>
                      <w:sz w:val="18"/>
                    </w:rPr>
                    <w:t>68.2</w:t>
                  </w:r>
                </w:p>
              </w:tc>
            </w:tr>
            <w:tr w:rsidR="00D22261" w14:paraId="38BD6D3B"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4FB93D81" w14:textId="77777777" w:rsidR="00D22261" w:rsidRDefault="00D22261" w:rsidP="008B2F07">
                  <w:pPr>
                    <w:spacing w:line="276" w:lineRule="auto"/>
                    <w:rPr>
                      <w:sz w:val="18"/>
                    </w:rPr>
                  </w:pPr>
                  <w:r>
                    <w:rPr>
                      <w:sz w:val="18"/>
                    </w:rPr>
                    <w:t>5</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10795E4D"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1B236626" w14:textId="77777777" w:rsidR="00D22261" w:rsidRDefault="00D22261" w:rsidP="008B2F07">
                  <w:pPr>
                    <w:spacing w:line="276" w:lineRule="auto"/>
                    <w:jc w:val="left"/>
                    <w:rPr>
                      <w:sz w:val="18"/>
                    </w:rPr>
                  </w:pPr>
                  <w:r>
                    <w:rPr>
                      <w:sz w:val="18"/>
                    </w:rPr>
                    <w:t>East Palo Alto</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38127FCB" w14:textId="77777777" w:rsidR="00D22261" w:rsidRDefault="00D22261" w:rsidP="008B2F07">
                  <w:pPr>
                    <w:spacing w:line="276" w:lineRule="auto"/>
                    <w:rPr>
                      <w:sz w:val="18"/>
                    </w:rPr>
                  </w:pPr>
                  <w:r>
                    <w:rPr>
                      <w:sz w:val="18"/>
                    </w:rPr>
                    <w:t>66.6</w:t>
                  </w:r>
                </w:p>
              </w:tc>
            </w:tr>
            <w:tr w:rsidR="00D22261" w14:paraId="323C2426" w14:textId="77777777" w:rsidTr="00D22261">
              <w:trPr>
                <w:trHeight w:val="220"/>
              </w:trPr>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56144C25" w14:textId="77777777" w:rsidR="00D22261" w:rsidRDefault="00D22261" w:rsidP="008B2F07">
                  <w:pPr>
                    <w:spacing w:line="276" w:lineRule="auto"/>
                    <w:rPr>
                      <w:sz w:val="18"/>
                    </w:rPr>
                  </w:pPr>
                  <w:r>
                    <w:rPr>
                      <w:sz w:val="18"/>
                    </w:rPr>
                    <w:t>6</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63BA0DDE"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73B2E319" w14:textId="77777777" w:rsidR="00D22261" w:rsidRDefault="00D22261" w:rsidP="008B2F07">
                  <w:pPr>
                    <w:spacing w:line="276" w:lineRule="auto"/>
                    <w:jc w:val="left"/>
                    <w:rPr>
                      <w:sz w:val="18"/>
                    </w:rPr>
                  </w:pPr>
                  <w:r>
                    <w:rPr>
                      <w:sz w:val="18"/>
                    </w:rPr>
                    <w:t>Redwood City</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30BF340A" w14:textId="77777777" w:rsidR="00D22261" w:rsidRDefault="00D22261" w:rsidP="008B2F07">
                  <w:pPr>
                    <w:spacing w:line="276" w:lineRule="auto"/>
                    <w:rPr>
                      <w:sz w:val="18"/>
                    </w:rPr>
                  </w:pPr>
                  <w:r>
                    <w:rPr>
                      <w:sz w:val="18"/>
                    </w:rPr>
                    <w:t>64.3</w:t>
                  </w:r>
                </w:p>
              </w:tc>
            </w:tr>
            <w:tr w:rsidR="00D22261" w14:paraId="067F63A7"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48438857" w14:textId="77777777" w:rsidR="00D22261" w:rsidRDefault="00D22261" w:rsidP="008B2F07">
                  <w:pPr>
                    <w:spacing w:line="276" w:lineRule="auto"/>
                    <w:rPr>
                      <w:sz w:val="18"/>
                    </w:rPr>
                  </w:pPr>
                  <w:r>
                    <w:rPr>
                      <w:sz w:val="18"/>
                    </w:rPr>
                    <w:t>7</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61D256D5"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5D5A126D" w14:textId="77777777" w:rsidR="00D22261" w:rsidRDefault="00D22261" w:rsidP="008B2F07">
                  <w:pPr>
                    <w:spacing w:line="276" w:lineRule="auto"/>
                    <w:jc w:val="left"/>
                    <w:rPr>
                      <w:sz w:val="18"/>
                    </w:rPr>
                  </w:pPr>
                  <w:r>
                    <w:rPr>
                      <w:sz w:val="18"/>
                    </w:rPr>
                    <w:t>North Fair Oaks</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6381D2C3" w14:textId="77777777" w:rsidR="00D22261" w:rsidRDefault="00D22261" w:rsidP="008B2F07">
                  <w:pPr>
                    <w:spacing w:line="276" w:lineRule="auto"/>
                    <w:rPr>
                      <w:sz w:val="18"/>
                    </w:rPr>
                  </w:pPr>
                  <w:r>
                    <w:rPr>
                      <w:sz w:val="18"/>
                    </w:rPr>
                    <w:t>64.2</w:t>
                  </w:r>
                </w:p>
              </w:tc>
            </w:tr>
            <w:tr w:rsidR="00D22261" w14:paraId="62BED863"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601EA4DB" w14:textId="77777777" w:rsidR="00D22261" w:rsidRDefault="00D22261" w:rsidP="008B2F07">
                  <w:pPr>
                    <w:spacing w:line="276" w:lineRule="auto"/>
                    <w:rPr>
                      <w:sz w:val="18"/>
                    </w:rPr>
                  </w:pPr>
                  <w:r>
                    <w:rPr>
                      <w:sz w:val="18"/>
                    </w:rPr>
                    <w:t>8</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12A73F53"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35351DDB" w14:textId="77777777" w:rsidR="00D22261" w:rsidRDefault="00D22261" w:rsidP="008B2F07">
                  <w:pPr>
                    <w:spacing w:line="276" w:lineRule="auto"/>
                    <w:jc w:val="left"/>
                    <w:rPr>
                      <w:sz w:val="18"/>
                    </w:rPr>
                  </w:pPr>
                  <w:r>
                    <w:rPr>
                      <w:sz w:val="18"/>
                    </w:rPr>
                    <w:t>East Palo Alto</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51C73811" w14:textId="77777777" w:rsidR="00D22261" w:rsidRDefault="00D22261" w:rsidP="008B2F07">
                  <w:pPr>
                    <w:spacing w:line="276" w:lineRule="auto"/>
                    <w:rPr>
                      <w:sz w:val="18"/>
                    </w:rPr>
                  </w:pPr>
                  <w:r>
                    <w:rPr>
                      <w:sz w:val="18"/>
                    </w:rPr>
                    <w:t>62.7</w:t>
                  </w:r>
                </w:p>
              </w:tc>
            </w:tr>
            <w:tr w:rsidR="00D22261" w14:paraId="12D0CDC7"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4E80439A" w14:textId="77777777" w:rsidR="00D22261" w:rsidRDefault="00D22261" w:rsidP="008B2F07">
                  <w:pPr>
                    <w:spacing w:line="276" w:lineRule="auto"/>
                    <w:rPr>
                      <w:sz w:val="18"/>
                    </w:rPr>
                  </w:pPr>
                  <w:r>
                    <w:rPr>
                      <w:sz w:val="18"/>
                    </w:rPr>
                    <w:t>9</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29AE4B88" w14:textId="77777777" w:rsidR="00D22261" w:rsidRDefault="00D22261" w:rsidP="008B2F07">
                  <w:pPr>
                    <w:spacing w:line="276" w:lineRule="auto"/>
                    <w:rPr>
                      <w:sz w:val="18"/>
                    </w:rPr>
                  </w:pPr>
                  <w:r>
                    <w:rPr>
                      <w:sz w:val="18"/>
                    </w:rPr>
                    <w:t>District 4</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1E94590E" w14:textId="77777777" w:rsidR="00D22261" w:rsidRDefault="00D22261" w:rsidP="008B2F07">
                  <w:pPr>
                    <w:spacing w:line="276" w:lineRule="auto"/>
                    <w:jc w:val="left"/>
                    <w:rPr>
                      <w:sz w:val="18"/>
                    </w:rPr>
                  </w:pPr>
                  <w:r>
                    <w:rPr>
                      <w:sz w:val="18"/>
                    </w:rPr>
                    <w:t>North Fair Oaks</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3C292DDA" w14:textId="77777777" w:rsidR="00D22261" w:rsidRDefault="00D22261" w:rsidP="008B2F07">
                  <w:pPr>
                    <w:spacing w:line="276" w:lineRule="auto"/>
                    <w:rPr>
                      <w:sz w:val="18"/>
                    </w:rPr>
                  </w:pPr>
                  <w:r>
                    <w:rPr>
                      <w:sz w:val="18"/>
                    </w:rPr>
                    <w:t>61.4</w:t>
                  </w:r>
                </w:p>
              </w:tc>
            </w:tr>
            <w:tr w:rsidR="00D22261" w14:paraId="003768A5" w14:textId="77777777" w:rsidTr="00D22261">
              <w:tc>
                <w:tcPr>
                  <w:tcW w:w="761" w:type="dxa"/>
                  <w:tcBorders>
                    <w:top w:val="single" w:sz="2" w:space="0" w:color="6CACDD"/>
                    <w:left w:val="single" w:sz="2" w:space="0" w:color="6CACDD"/>
                    <w:bottom w:val="single" w:sz="2" w:space="0" w:color="6CACDD"/>
                    <w:right w:val="single" w:sz="4" w:space="0" w:color="CBCBCB"/>
                  </w:tcBorders>
                  <w:tcMar>
                    <w:top w:w="0" w:type="dxa"/>
                    <w:left w:w="75" w:type="dxa"/>
                    <w:bottom w:w="0" w:type="dxa"/>
                    <w:right w:w="75" w:type="dxa"/>
                  </w:tcMar>
                  <w:hideMark/>
                </w:tcPr>
                <w:p w14:paraId="6F730D01" w14:textId="77777777" w:rsidR="00D22261" w:rsidRDefault="00D22261" w:rsidP="008B2F07">
                  <w:pPr>
                    <w:spacing w:line="276" w:lineRule="auto"/>
                    <w:rPr>
                      <w:sz w:val="18"/>
                    </w:rPr>
                  </w:pPr>
                  <w:r>
                    <w:rPr>
                      <w:sz w:val="18"/>
                    </w:rPr>
                    <w:t>10</w:t>
                  </w:r>
                </w:p>
              </w:tc>
              <w:tc>
                <w:tcPr>
                  <w:tcW w:w="957"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2BC6C4AB" w14:textId="77777777" w:rsidR="00D22261" w:rsidRDefault="00D22261" w:rsidP="008B2F07">
                  <w:pPr>
                    <w:spacing w:line="276" w:lineRule="auto"/>
                    <w:rPr>
                      <w:sz w:val="18"/>
                    </w:rPr>
                  </w:pPr>
                  <w:r>
                    <w:rPr>
                      <w:sz w:val="18"/>
                    </w:rPr>
                    <w:t>District 1</w:t>
                  </w:r>
                </w:p>
              </w:tc>
              <w:tc>
                <w:tcPr>
                  <w:tcW w:w="1552" w:type="dxa"/>
                  <w:tcBorders>
                    <w:top w:val="single" w:sz="2" w:space="0" w:color="6CACDD"/>
                    <w:left w:val="single" w:sz="4" w:space="0" w:color="CBCBCB"/>
                    <w:bottom w:val="single" w:sz="2" w:space="0" w:color="6CACDD"/>
                    <w:right w:val="single" w:sz="4" w:space="0" w:color="CBCBCB"/>
                  </w:tcBorders>
                  <w:tcMar>
                    <w:top w:w="0" w:type="dxa"/>
                    <w:left w:w="75" w:type="dxa"/>
                    <w:bottom w:w="0" w:type="dxa"/>
                    <w:right w:w="75" w:type="dxa"/>
                  </w:tcMar>
                  <w:hideMark/>
                </w:tcPr>
                <w:p w14:paraId="03739DC8" w14:textId="77777777" w:rsidR="00D22261" w:rsidRDefault="00D22261" w:rsidP="008B2F07">
                  <w:pPr>
                    <w:spacing w:line="276" w:lineRule="auto"/>
                    <w:jc w:val="left"/>
                    <w:rPr>
                      <w:sz w:val="18"/>
                    </w:rPr>
                  </w:pPr>
                  <w:r>
                    <w:rPr>
                      <w:sz w:val="18"/>
                    </w:rPr>
                    <w:t>South San Francisco</w:t>
                  </w:r>
                </w:p>
              </w:tc>
              <w:tc>
                <w:tcPr>
                  <w:tcW w:w="611" w:type="dxa"/>
                  <w:tcBorders>
                    <w:top w:val="single" w:sz="2" w:space="0" w:color="6CACDD"/>
                    <w:left w:val="single" w:sz="4" w:space="0" w:color="CBCBCB"/>
                    <w:bottom w:val="single" w:sz="2" w:space="0" w:color="6CACDD"/>
                    <w:right w:val="single" w:sz="2" w:space="0" w:color="6CACDD"/>
                  </w:tcBorders>
                  <w:tcMar>
                    <w:top w:w="0" w:type="dxa"/>
                    <w:left w:w="75" w:type="dxa"/>
                    <w:bottom w:w="0" w:type="dxa"/>
                    <w:right w:w="75" w:type="dxa"/>
                  </w:tcMar>
                  <w:hideMark/>
                </w:tcPr>
                <w:p w14:paraId="0578A3FA" w14:textId="77777777" w:rsidR="00D22261" w:rsidRDefault="00D22261" w:rsidP="008B2F07">
                  <w:pPr>
                    <w:spacing w:line="276" w:lineRule="auto"/>
                    <w:rPr>
                      <w:sz w:val="18"/>
                    </w:rPr>
                  </w:pPr>
                  <w:r>
                    <w:rPr>
                      <w:sz w:val="18"/>
                    </w:rPr>
                    <w:t>61.2</w:t>
                  </w:r>
                </w:p>
              </w:tc>
            </w:tr>
          </w:tbl>
          <w:p w14:paraId="7DA5995C" w14:textId="77777777" w:rsidR="007959EA" w:rsidRPr="00AE3F99" w:rsidRDefault="007959EA" w:rsidP="008B2F07"/>
        </w:tc>
      </w:tr>
    </w:tbl>
    <w:p w14:paraId="4B05B6CA" w14:textId="77777777" w:rsidR="007959EA" w:rsidRPr="00AE3F99" w:rsidRDefault="007959EA" w:rsidP="00EC7076"/>
    <w:p w14:paraId="597250AA" w14:textId="77777777" w:rsidR="006D6EBA" w:rsidRPr="00AE3F99" w:rsidRDefault="006D6EBA" w:rsidP="00EC7076"/>
    <w:p w14:paraId="3F870378" w14:textId="353F0E7A" w:rsidR="00135760" w:rsidRPr="00AE3F99" w:rsidRDefault="00F604EA" w:rsidP="008B2F07">
      <w:pPr>
        <w:pStyle w:val="ListParagraph"/>
        <w:ind w:left="0"/>
      </w:pPr>
      <w:r>
        <w:t xml:space="preserve">If </w:t>
      </w:r>
      <w:r w:rsidR="00E5453B">
        <w:t>your proposal includes serving the disadvantaged community, p</w:t>
      </w:r>
      <w:r w:rsidR="006D6EBA" w:rsidRPr="00AE3F99">
        <w:t>lease provide a brief narrative description of how your proposed program will benefit qualifying disadvantaged community members</w:t>
      </w:r>
      <w:r w:rsidR="007959EA" w:rsidRPr="00AE3F99">
        <w:t>.</w:t>
      </w:r>
    </w:p>
    <w:p w14:paraId="3BC9B1D5" w14:textId="77777777" w:rsidR="008B2F07" w:rsidRDefault="008B2F07" w:rsidP="008B2F07">
      <w:pPr>
        <w:pStyle w:val="Heading3"/>
        <w:numPr>
          <w:ilvl w:val="0"/>
          <w:numId w:val="0"/>
        </w:numPr>
      </w:pPr>
    </w:p>
    <w:p w14:paraId="43B81C09" w14:textId="77777777" w:rsidR="008B2F07" w:rsidRDefault="008B2F07" w:rsidP="008B2F07">
      <w:pPr>
        <w:pStyle w:val="Heading3"/>
        <w:numPr>
          <w:ilvl w:val="0"/>
          <w:numId w:val="0"/>
        </w:numPr>
      </w:pPr>
    </w:p>
    <w:p w14:paraId="063001FD" w14:textId="7528C26A" w:rsidR="00F638C4" w:rsidRPr="00AE3F99" w:rsidRDefault="00EC7076" w:rsidP="008B2F07">
      <w:pPr>
        <w:pStyle w:val="Heading3"/>
        <w:numPr>
          <w:ilvl w:val="0"/>
          <w:numId w:val="0"/>
        </w:numPr>
      </w:pPr>
      <w:r>
        <w:t xml:space="preserve">c)   </w:t>
      </w:r>
      <w:r w:rsidR="00F638C4" w:rsidRPr="00AE3F99">
        <w:t>Supports PCE’s load serving needs</w:t>
      </w:r>
    </w:p>
    <w:p w14:paraId="68238CEC" w14:textId="41CB0BEC" w:rsidR="00135760" w:rsidRPr="00AE3F99" w:rsidRDefault="00135760" w:rsidP="008B2F07">
      <w:r w:rsidRPr="00AE3F99">
        <w:t xml:space="preserve">In the future, PCE may face over-generation of electricity through the middle of the day on weekdays and have excess energy supply during these times.  We are looking for programs that may help solve this imbalance.  Some examples of how a program might solve this issue include consuming electricity during times of excess supply, generating electricity at times when demand is high, storing electricity during times of excess supply, and creating pricing signals to encourage this behavior.  </w:t>
      </w:r>
      <w:hyperlink r:id="rId19" w:history="1">
        <w:r w:rsidRPr="00364F36">
          <w:rPr>
            <w:rStyle w:val="Hyperlink"/>
          </w:rPr>
          <w:t>PCE’s Integrated Resource Plan</w:t>
        </w:r>
      </w:hyperlink>
      <w:r w:rsidRPr="00AE3F99">
        <w:t>, which can be found on our website</w:t>
      </w:r>
      <w:r w:rsidR="00364F36">
        <w:t xml:space="preserve"> </w:t>
      </w:r>
      <w:r w:rsidRPr="00AE3F99">
        <w:t>provides additional details on our current load and supply resources.</w:t>
      </w:r>
    </w:p>
    <w:p w14:paraId="36E21A65" w14:textId="77777777" w:rsidR="00135760" w:rsidRPr="00AE3F99" w:rsidRDefault="00135760" w:rsidP="008B2F07"/>
    <w:p w14:paraId="1B1B544F" w14:textId="77777777" w:rsidR="00135760" w:rsidRPr="00AE3F99" w:rsidRDefault="00135760" w:rsidP="008B2F07">
      <w:r w:rsidRPr="00AE3F99">
        <w:t>Briefly</w:t>
      </w:r>
      <w:r w:rsidRPr="000E6A88">
        <w:t xml:space="preserve"> </w:t>
      </w:r>
      <w:r w:rsidRPr="00AE3F99">
        <w:t>describe if and how your proposed project would work to address these concerns.</w:t>
      </w:r>
    </w:p>
    <w:p w14:paraId="1A30B93E" w14:textId="77777777" w:rsidR="00135760" w:rsidRPr="00AE3F99" w:rsidRDefault="00135760" w:rsidP="008B2F07"/>
    <w:p w14:paraId="7AC8F536" w14:textId="5ED78D95" w:rsidR="00F638C4" w:rsidRPr="00AE3F99" w:rsidRDefault="002C388D" w:rsidP="008B2F07">
      <w:pPr>
        <w:pStyle w:val="Heading3"/>
        <w:numPr>
          <w:ilvl w:val="0"/>
          <w:numId w:val="0"/>
        </w:numPr>
      </w:pPr>
      <w:r>
        <w:t xml:space="preserve">d) </w:t>
      </w:r>
      <w:r w:rsidR="00F638C4" w:rsidRPr="00AE3F99">
        <w:t>Additional Benefits</w:t>
      </w:r>
    </w:p>
    <w:p w14:paraId="0A742290" w14:textId="021C7CED" w:rsidR="00F638C4" w:rsidRPr="00AE3F99" w:rsidRDefault="006D6EBA" w:rsidP="008B2F07">
      <w:r w:rsidRPr="00AE3F99">
        <w:t>Discuss how the project s</w:t>
      </w:r>
      <w:r w:rsidR="00F638C4" w:rsidRPr="00AE3F99">
        <w:t>upports community resilience; is innovative, scalable and replicable; and/or addresses program gaps in the region.</w:t>
      </w:r>
    </w:p>
    <w:p w14:paraId="08A4F485" w14:textId="563FAEF9" w:rsidR="000A5E22" w:rsidRPr="00AE3F99" w:rsidRDefault="000A5E22" w:rsidP="008B2F07"/>
    <w:p w14:paraId="043E19F6" w14:textId="67F9BB78" w:rsidR="00A5074C" w:rsidRPr="00AE3F99" w:rsidRDefault="000A5E22" w:rsidP="008B2F07">
      <w:r w:rsidRPr="00AE3F99">
        <w:t>San Mateo county has a history of being at the forefront of innovation, and PCE’s customer base includes some of the most innovative companies in the nation. PCE should leverage that spirit, along with its unique position in the energy market as a</w:t>
      </w:r>
      <w:r w:rsidR="002C388D">
        <w:t>n agile and local</w:t>
      </w:r>
      <w:r w:rsidR="00364F36">
        <w:t>ly</w:t>
      </w:r>
      <w:r w:rsidR="002C388D">
        <w:t xml:space="preserve"> governed agency</w:t>
      </w:r>
      <w:r w:rsidRPr="00AE3F99">
        <w:t xml:space="preserve"> to develop and offer cutting edge programs. Further, to avoid investing in one-off opportunities and limiting market impact, it is preferred that PCE’s programs be both scalable and replicable. </w:t>
      </w:r>
      <w:r w:rsidR="0049392E" w:rsidRPr="00AE3F99">
        <w:t>Discuss whether the proposed project has</w:t>
      </w:r>
      <w:r w:rsidR="00A5074C" w:rsidRPr="00AE3F99">
        <w:t xml:space="preserve"> been implemented by your organization</w:t>
      </w:r>
      <w:r w:rsidR="0049392E" w:rsidRPr="00AE3F99">
        <w:t xml:space="preserve"> or other organizations and if yes, what the learnings and results were. If it is the first such program, discuss the implications. Please articulate how this program could be expanded over time throughout PCE’s service area.</w:t>
      </w:r>
    </w:p>
    <w:p w14:paraId="38225381" w14:textId="77777777" w:rsidR="000A5E22" w:rsidRPr="00AE3F99" w:rsidRDefault="000A5E22" w:rsidP="008B2F07"/>
    <w:p w14:paraId="3E396AD6" w14:textId="5C9D6295" w:rsidR="000A5E22" w:rsidRPr="00AE3F99" w:rsidRDefault="000A5E22" w:rsidP="008B2F07">
      <w:r w:rsidRPr="00AE3F99">
        <w:t xml:space="preserve">Climate change science predicts increasingly severe weather. In California, this includes record storms, heat waves, and wildfires that can cause largescale blackouts on California’s electrical grid. PCE </w:t>
      </w:r>
      <w:r w:rsidR="002C388D">
        <w:t>is interested in</w:t>
      </w:r>
      <w:r w:rsidRPr="00AE3F99">
        <w:t xml:space="preserve"> contribut</w:t>
      </w:r>
      <w:r w:rsidR="002C388D">
        <w:t>ing</w:t>
      </w:r>
      <w:r w:rsidRPr="00AE3F99">
        <w:t xml:space="preserve"> to the community resilience of San Mateo County by increasing the reliability of electricity service for key institutions</w:t>
      </w:r>
      <w:r w:rsidR="0049392E" w:rsidRPr="00AE3F99">
        <w:t xml:space="preserve"> (emergency response, health and social services, etc.)</w:t>
      </w:r>
      <w:r w:rsidRPr="00AE3F99">
        <w:t xml:space="preserve"> and populations that are especially vulnerable to the loss of electrical power. </w:t>
      </w:r>
      <w:r w:rsidR="00E06386">
        <w:t xml:space="preserve"> Please articulate if this program can increase community resiliency.</w:t>
      </w:r>
    </w:p>
    <w:p w14:paraId="28C75842" w14:textId="77777777" w:rsidR="0049392E" w:rsidRPr="00AE3F99" w:rsidRDefault="0049392E" w:rsidP="00E5453B">
      <w:pPr>
        <w:ind w:left="720"/>
      </w:pPr>
    </w:p>
    <w:p w14:paraId="4C26DC7D" w14:textId="0810DAD2" w:rsidR="008B2F07" w:rsidRPr="00AE3F99" w:rsidRDefault="000A5E22" w:rsidP="008B2F07">
      <w:r w:rsidRPr="00AE3F99">
        <w:t xml:space="preserve">PCE customers are still eligible for PG&amp;E and other state-funded programs such as rebates on efficient appliances and electric cars. This also includes energy efficiency programs offered in San Mateo County through the County Office of Sustainability. PCE may be able to leverage these existing programs to build on or complement them in our service territory. These programs do face regulatory challenges in implementing certain kinds of programs such as incentivizing fuel switching (for example, from gas to electric hot water heaters). PCE’s local program offerings may be most effective if, instead of duplicating existing utility offerings, they complement or fill a gap in programs already available to our customers. </w:t>
      </w:r>
    </w:p>
    <w:p w14:paraId="245EB13A" w14:textId="77777777" w:rsidR="00F638C4" w:rsidRPr="00AE3F99" w:rsidRDefault="00F638C4" w:rsidP="00135760"/>
    <w:p w14:paraId="5FC1B969" w14:textId="48F1986B" w:rsidR="00F638C4" w:rsidRPr="00AE3F99" w:rsidRDefault="00F638C4" w:rsidP="008B2F07">
      <w:pPr>
        <w:pStyle w:val="Heading3"/>
      </w:pPr>
      <w:r w:rsidRPr="00AE3F99">
        <w:t>PCE Implementation Requirements</w:t>
      </w:r>
    </w:p>
    <w:p w14:paraId="2D0BBF5F" w14:textId="226138A7" w:rsidR="008B2F07" w:rsidRDefault="00B24D96" w:rsidP="00135760">
      <w:r w:rsidRPr="00AE3F99">
        <w:t>Specify what PCE’s role is in the project</w:t>
      </w:r>
      <w:r w:rsidR="00E06386">
        <w:t>,</w:t>
      </w:r>
      <w:r w:rsidRPr="00AE3F99">
        <w:t xml:space="preserve"> if any</w:t>
      </w:r>
      <w:r w:rsidR="00E06386">
        <w:t>,</w:t>
      </w:r>
      <w:r w:rsidRPr="00AE3F99">
        <w:t xml:space="preserve"> and what is required from PCE </w:t>
      </w:r>
      <w:r w:rsidR="00E06386">
        <w:t xml:space="preserve">staff </w:t>
      </w:r>
      <w:r w:rsidRPr="00AE3F99">
        <w:t>to ensure the project’s success. Discuss whether the role and activities can be executed within PCE’s capabilities</w:t>
      </w:r>
      <w:r w:rsidR="0049392E" w:rsidRPr="00AE3F99">
        <w:t>, how the project will minimize administrative burdens on PCE</w:t>
      </w:r>
      <w:r w:rsidRPr="00AE3F99">
        <w:t xml:space="preserve"> and </w:t>
      </w:r>
      <w:r w:rsidR="0049392E" w:rsidRPr="00AE3F99">
        <w:t>how</w:t>
      </w:r>
      <w:r w:rsidRPr="00AE3F99">
        <w:t xml:space="preserve"> the project </w:t>
      </w:r>
      <w:r w:rsidRPr="00AE3F99">
        <w:lastRenderedPageBreak/>
        <w:t xml:space="preserve">helps build PCE capacities. </w:t>
      </w:r>
      <w:r w:rsidR="0049392E" w:rsidRPr="00AE3F99">
        <w:t>Address any significant external policy changes which may be required to implement.</w:t>
      </w:r>
    </w:p>
    <w:p w14:paraId="09E59688" w14:textId="77777777" w:rsidR="008B2F07" w:rsidRPr="00AE3F99" w:rsidRDefault="008B2F07" w:rsidP="00135760"/>
    <w:p w14:paraId="485BF8A0" w14:textId="6406B0F2" w:rsidR="00B24D96" w:rsidRPr="00AE3F99" w:rsidRDefault="00B24D96" w:rsidP="003C0411">
      <w:pPr>
        <w:pStyle w:val="Heading3"/>
      </w:pPr>
      <w:r w:rsidRPr="00AE3F99">
        <w:t>Qualifications</w:t>
      </w:r>
    </w:p>
    <w:p w14:paraId="6FBF1026" w14:textId="6B27A8FC" w:rsidR="00135760" w:rsidRPr="00AE3F99" w:rsidRDefault="00080548" w:rsidP="00135760">
      <w:r w:rsidRPr="00AE3F99">
        <w:t>Discuss your qualifications for executing the proposed project. Include whether your organization has previously executed similar work, whether the project will be done with existing staff or new staff is required, and the qualifications of your partners. If emerging technology is involved, explain the readiness of the technology, risks and mitigations.</w:t>
      </w:r>
    </w:p>
    <w:p w14:paraId="70CA130F" w14:textId="77777777" w:rsidR="00135760" w:rsidRPr="00AE3F99" w:rsidRDefault="00135760" w:rsidP="00135760"/>
    <w:p w14:paraId="0B5DEBD1" w14:textId="7884BC5A" w:rsidR="00B24D96" w:rsidRPr="00AE3F99" w:rsidRDefault="000C7325" w:rsidP="003C0411">
      <w:pPr>
        <w:pStyle w:val="Heading3"/>
      </w:pPr>
      <w:r w:rsidRPr="00AE3F99">
        <w:t>Evaluation</w:t>
      </w:r>
    </w:p>
    <w:p w14:paraId="559E08CF" w14:textId="1D6E1965" w:rsidR="005366F4" w:rsidRPr="00AE3F99" w:rsidRDefault="003E6BD4" w:rsidP="00135760">
      <w:r w:rsidRPr="00AE3F99">
        <w:t xml:space="preserve">Explain </w:t>
      </w:r>
      <w:r w:rsidR="00E748F8" w:rsidRPr="00AE3F99">
        <w:t>your approach to evaluating success</w:t>
      </w:r>
      <w:r w:rsidR="00A1793D" w:rsidRPr="00AE3F99">
        <w:t>. This must include quantifying outcomes towards the benefits expected to be delivered to the degree feasible.</w:t>
      </w:r>
    </w:p>
    <w:p w14:paraId="2AC4D520" w14:textId="77777777" w:rsidR="005366F4" w:rsidRPr="00AE3F99" w:rsidRDefault="005366F4" w:rsidP="00135760">
      <w:r w:rsidRPr="00AE3F99">
        <w:t xml:space="preserve"> </w:t>
      </w:r>
    </w:p>
    <w:p w14:paraId="7EA34FD4" w14:textId="7D98AC3D" w:rsidR="00246650" w:rsidRPr="003C0411" w:rsidRDefault="00246650" w:rsidP="003C0411">
      <w:pPr>
        <w:pStyle w:val="Heading3"/>
      </w:pPr>
      <w:r w:rsidRPr="003C0411">
        <w:t xml:space="preserve">Metrics and Assumptions </w:t>
      </w:r>
    </w:p>
    <w:p w14:paraId="24A0CDAC" w14:textId="34D18CD5" w:rsidR="001F33A9" w:rsidRPr="00AE3F99" w:rsidRDefault="00246650" w:rsidP="001F33A9">
      <w:r w:rsidRPr="00AE3F99">
        <w:t xml:space="preserve">Discuss your metrics and the underlying assumptions. </w:t>
      </w:r>
      <w:r w:rsidR="000B27F4" w:rsidRPr="00AE3F99">
        <w:t xml:space="preserve">Impact data must include impact of the specific project, </w:t>
      </w:r>
      <w:r w:rsidR="00E06386">
        <w:t xml:space="preserve">and </w:t>
      </w:r>
      <w:r w:rsidR="000B27F4" w:rsidRPr="00AE3F99">
        <w:rPr>
          <w:u w:val="single"/>
        </w:rPr>
        <w:t>may</w:t>
      </w:r>
      <w:r w:rsidR="000B27F4" w:rsidRPr="00AE3F99">
        <w:t xml:space="preserve"> include extrapolated impact across the addressable market.</w:t>
      </w:r>
      <w:r w:rsidR="005366F4" w:rsidRPr="00AE3F99">
        <w:t xml:space="preserve"> Please use PCE’s data sources and use conservative estimates. </w:t>
      </w:r>
      <w:r w:rsidR="001F33A9" w:rsidRPr="00AE3F99">
        <w:t>Analysis should include immediate and longer</w:t>
      </w:r>
      <w:r w:rsidR="00AE3F99">
        <w:t>-</w:t>
      </w:r>
      <w:r w:rsidR="001F33A9" w:rsidRPr="00AE3F99">
        <w:t xml:space="preserve">term impacts if a pilot approach is scaled. Note it is understood that some projects may deliver lower cost-benefit for GHGs but are valuable in delivering other community benefits. </w:t>
      </w:r>
    </w:p>
    <w:p w14:paraId="4E155198" w14:textId="77777777" w:rsidR="00A1793D" w:rsidRPr="00AE3F99" w:rsidRDefault="00A1793D" w:rsidP="00135760"/>
    <w:p w14:paraId="211F9F31" w14:textId="4504F613" w:rsidR="00A1793D" w:rsidRPr="00AE3F99" w:rsidRDefault="00A1793D" w:rsidP="00135760">
      <w:r w:rsidRPr="00AE3F99">
        <w:t>For metrics of any complexity, applicants are encouraged to include a separate spreadsheet showing how the metrics are calculated. These should clearly show how the calculations are arrived at and the sources of any foundational data. Including total results and per-unit (project/resident/</w:t>
      </w:r>
      <w:proofErr w:type="gramStart"/>
      <w:r w:rsidRPr="00AE3F99">
        <w:t>time period</w:t>
      </w:r>
      <w:proofErr w:type="gramEnd"/>
      <w:r w:rsidRPr="00AE3F99">
        <w:t>) is helpful. See the sample calculations for one approach to presenting the information.</w:t>
      </w:r>
    </w:p>
    <w:p w14:paraId="6893F04E" w14:textId="77777777" w:rsidR="00A1793D" w:rsidRPr="00AE3F99" w:rsidRDefault="00A1793D" w:rsidP="00135760"/>
    <w:p w14:paraId="43BD0B38" w14:textId="552ADE03" w:rsidR="005366F4" w:rsidRPr="00AE3F99" w:rsidRDefault="005366F4" w:rsidP="00135760">
      <w:r w:rsidRPr="00AE3F99">
        <w:t xml:space="preserve">Below are factors to consider. </w:t>
      </w:r>
    </w:p>
    <w:p w14:paraId="46644DAB" w14:textId="55E1D8F9" w:rsidR="0030539F" w:rsidRPr="00AE3F99" w:rsidRDefault="0030539F" w:rsidP="00135760"/>
    <w:p w14:paraId="714849B8" w14:textId="20B161F5" w:rsidR="00B67FFE" w:rsidRPr="00AE3F99" w:rsidRDefault="00B67FFE" w:rsidP="00246650">
      <w:pPr>
        <w:pStyle w:val="ListParagraph"/>
        <w:numPr>
          <w:ilvl w:val="0"/>
          <w:numId w:val="37"/>
        </w:numPr>
      </w:pPr>
      <w:r w:rsidRPr="00AE3F99">
        <w:t>Greenhouse Gas (GHG) Emissions Reductions</w:t>
      </w:r>
      <w:r w:rsidR="00246650" w:rsidRPr="00AE3F99">
        <w:t xml:space="preserve">: </w:t>
      </w:r>
      <w:r w:rsidR="001F33A9" w:rsidRPr="00AE3F99">
        <w:t>S</w:t>
      </w:r>
      <w:r w:rsidR="00246650" w:rsidRPr="00AE3F99">
        <w:t xml:space="preserve">pecify the factors </w:t>
      </w:r>
      <w:r w:rsidR="00A1793D" w:rsidRPr="00AE3F99">
        <w:t xml:space="preserve">in the reductions. These must include direct reductions and may include indirect reductions as well as one-time effects. </w:t>
      </w:r>
    </w:p>
    <w:p w14:paraId="31B94899" w14:textId="77777777" w:rsidR="00B67FFE" w:rsidRPr="00AE3F99" w:rsidRDefault="00B67FFE" w:rsidP="00135760"/>
    <w:p w14:paraId="36B961F9" w14:textId="085964A6" w:rsidR="008B2F07" w:rsidRDefault="00B67FFE" w:rsidP="00135760">
      <w:pPr>
        <w:pStyle w:val="ListParagraph"/>
        <w:numPr>
          <w:ilvl w:val="0"/>
          <w:numId w:val="37"/>
        </w:numPr>
      </w:pPr>
      <w:r w:rsidRPr="00AE3F99">
        <w:t>Cost Effectiveness</w:t>
      </w:r>
      <w:r w:rsidR="001F33A9" w:rsidRPr="00AE3F99">
        <w:t>: E</w:t>
      </w:r>
      <w:r w:rsidRPr="00AE3F99">
        <w:t xml:space="preserve">stimate of total costs for and any income from the project. Include all administrative and overhead costs in your estimate. How is cost effectiveness being addressed? Specify the primary cost effectiveness driver for evaluation. </w:t>
      </w:r>
      <w:r w:rsidR="001F33A9" w:rsidRPr="00AE3F99">
        <w:t>Cost effectiveness may apply to GHGs or other community benefits or both.</w:t>
      </w:r>
    </w:p>
    <w:p w14:paraId="2A952798" w14:textId="77777777" w:rsidR="00297E48" w:rsidRPr="00AE3F99" w:rsidRDefault="00297E48" w:rsidP="00135760"/>
    <w:p w14:paraId="73FF2343" w14:textId="77777777" w:rsidR="005366F4" w:rsidRPr="00AE3F99" w:rsidRDefault="005366F4" w:rsidP="0050400A">
      <w:pPr>
        <w:pStyle w:val="Heading1"/>
      </w:pPr>
      <w:r w:rsidRPr="00AE3F99">
        <w:t>Budget</w:t>
      </w:r>
    </w:p>
    <w:p w14:paraId="1DF8A898" w14:textId="77777777" w:rsidR="005366F4" w:rsidRPr="00AE3F99" w:rsidRDefault="005366F4" w:rsidP="00135760">
      <w:r w:rsidRPr="00AE3F99">
        <w:t>List all funding sources, including if a subsidy would be required from PCE, and if you plan to leverage any other funding sources such as external grant programs. If costs are to be shared, please be clear about breakdown of costs to each entity. If there is a projected revenue stream, from the project, please describe how this would be generated and whom it would benefit.</w:t>
      </w:r>
    </w:p>
    <w:p w14:paraId="67688E62" w14:textId="77777777" w:rsidR="005366F4" w:rsidRPr="00AE3F99" w:rsidRDefault="005366F4" w:rsidP="00135760"/>
    <w:p w14:paraId="312B242A" w14:textId="53DDC0F1" w:rsidR="0066035A" w:rsidRPr="00AE3F99" w:rsidRDefault="0066035A" w:rsidP="00135760">
      <w:r w:rsidRPr="00AE3F99">
        <w:t xml:space="preserve">A budget must accompany the proposal. The following </w:t>
      </w:r>
      <w:hyperlink r:id="rId20" w:history="1">
        <w:r w:rsidR="008B2F07">
          <w:rPr>
            <w:rStyle w:val="Hyperlink"/>
          </w:rPr>
          <w:t>budget t</w:t>
        </w:r>
        <w:r w:rsidRPr="008B2F07">
          <w:rPr>
            <w:rStyle w:val="Hyperlink"/>
          </w:rPr>
          <w:t>e</w:t>
        </w:r>
        <w:bookmarkStart w:id="0" w:name="_GoBack"/>
        <w:bookmarkEnd w:id="0"/>
        <w:r w:rsidRPr="008B2F07">
          <w:rPr>
            <w:rStyle w:val="Hyperlink"/>
          </w:rPr>
          <w:t>mplate</w:t>
        </w:r>
      </w:hyperlink>
      <w:r w:rsidRPr="00AE3F99">
        <w:t xml:space="preserve"> is recommended</w:t>
      </w:r>
      <w:r w:rsidR="008B2F07">
        <w:t xml:space="preserve">. </w:t>
      </w:r>
      <w:r w:rsidRPr="00AE3F99">
        <w:t>The budget must include:</w:t>
      </w:r>
    </w:p>
    <w:p w14:paraId="5F171B93" w14:textId="77777777" w:rsidR="0066035A" w:rsidRPr="00AE3F99" w:rsidRDefault="0066035A" w:rsidP="00135760"/>
    <w:p w14:paraId="1489B8B6" w14:textId="77777777" w:rsidR="0066035A" w:rsidRPr="00AE3F99" w:rsidRDefault="0066035A" w:rsidP="00135760">
      <w:pPr>
        <w:pStyle w:val="ListParagraph"/>
        <w:numPr>
          <w:ilvl w:val="0"/>
          <w:numId w:val="24"/>
        </w:numPr>
      </w:pPr>
      <w:r w:rsidRPr="00AE3F99">
        <w:t>Expenses</w:t>
      </w:r>
    </w:p>
    <w:p w14:paraId="027FDD96" w14:textId="2E50CD4A" w:rsidR="0066035A" w:rsidRPr="00AE3F99" w:rsidRDefault="0066035A" w:rsidP="00135760">
      <w:pPr>
        <w:pStyle w:val="ListParagraph"/>
        <w:numPr>
          <w:ilvl w:val="1"/>
          <w:numId w:val="24"/>
        </w:numPr>
      </w:pPr>
      <w:r w:rsidRPr="00AE3F99">
        <w:t xml:space="preserve">Direct labor including key personnel, roles, labor rates </w:t>
      </w:r>
      <w:r w:rsidR="008B2F07">
        <w:t>(loaded), and approximate hours</w:t>
      </w:r>
    </w:p>
    <w:p w14:paraId="7E647132" w14:textId="77777777" w:rsidR="0066035A" w:rsidRPr="00AE3F99" w:rsidRDefault="0066035A" w:rsidP="00135760">
      <w:pPr>
        <w:pStyle w:val="ListParagraph"/>
        <w:numPr>
          <w:ilvl w:val="1"/>
          <w:numId w:val="24"/>
        </w:numPr>
      </w:pPr>
      <w:r w:rsidRPr="00AE3F99">
        <w:t>Total direct labor cost</w:t>
      </w:r>
    </w:p>
    <w:p w14:paraId="6E5783B9" w14:textId="77777777" w:rsidR="0066035A" w:rsidRPr="00AE3F99" w:rsidRDefault="0066035A" w:rsidP="00135760">
      <w:pPr>
        <w:pStyle w:val="ListParagraph"/>
        <w:numPr>
          <w:ilvl w:val="1"/>
          <w:numId w:val="24"/>
        </w:numPr>
      </w:pPr>
      <w:r w:rsidRPr="00AE3F99">
        <w:t>Supplies with high level descriptions</w:t>
      </w:r>
    </w:p>
    <w:p w14:paraId="2E654B04" w14:textId="77777777" w:rsidR="0066035A" w:rsidRPr="00AE3F99" w:rsidRDefault="0066035A" w:rsidP="00135760">
      <w:pPr>
        <w:pStyle w:val="ListParagraph"/>
        <w:numPr>
          <w:ilvl w:val="1"/>
          <w:numId w:val="24"/>
        </w:numPr>
      </w:pPr>
      <w:r w:rsidRPr="00AE3F99">
        <w:t>Equipment (over $5,000 per unit) with descriptions</w:t>
      </w:r>
    </w:p>
    <w:p w14:paraId="7EFBA733" w14:textId="77777777" w:rsidR="0066035A" w:rsidRPr="00AE3F99" w:rsidRDefault="0066035A" w:rsidP="00135760">
      <w:pPr>
        <w:pStyle w:val="ListParagraph"/>
        <w:numPr>
          <w:ilvl w:val="1"/>
          <w:numId w:val="24"/>
        </w:numPr>
      </w:pPr>
      <w:r w:rsidRPr="00AE3F99">
        <w:t>Subcontractors with descriptions</w:t>
      </w:r>
    </w:p>
    <w:p w14:paraId="174A4C10" w14:textId="77777777" w:rsidR="0066035A" w:rsidRPr="00AE3F99" w:rsidRDefault="0066035A" w:rsidP="00135760">
      <w:pPr>
        <w:pStyle w:val="ListParagraph"/>
        <w:numPr>
          <w:ilvl w:val="0"/>
          <w:numId w:val="24"/>
        </w:numPr>
      </w:pPr>
      <w:r w:rsidRPr="00AE3F99">
        <w:t>Income</w:t>
      </w:r>
    </w:p>
    <w:p w14:paraId="1854B118" w14:textId="77777777" w:rsidR="0066035A" w:rsidRPr="00AE3F99" w:rsidRDefault="0066035A" w:rsidP="00135760">
      <w:pPr>
        <w:pStyle w:val="ListParagraph"/>
        <w:numPr>
          <w:ilvl w:val="1"/>
          <w:numId w:val="24"/>
        </w:numPr>
      </w:pPr>
      <w:r w:rsidRPr="00AE3F99">
        <w:t>PCE Funds</w:t>
      </w:r>
    </w:p>
    <w:p w14:paraId="041AB0CD" w14:textId="77777777" w:rsidR="0066035A" w:rsidRPr="00AE3F99" w:rsidRDefault="0066035A" w:rsidP="00135760">
      <w:pPr>
        <w:pStyle w:val="ListParagraph"/>
        <w:numPr>
          <w:ilvl w:val="1"/>
          <w:numId w:val="24"/>
        </w:numPr>
      </w:pPr>
      <w:r w:rsidRPr="00AE3F99">
        <w:t>Revenues from project</w:t>
      </w:r>
    </w:p>
    <w:p w14:paraId="0EFD5C1A" w14:textId="77777777" w:rsidR="0066035A" w:rsidRPr="00AE3F99" w:rsidRDefault="0066035A" w:rsidP="00135760">
      <w:pPr>
        <w:pStyle w:val="ListParagraph"/>
        <w:numPr>
          <w:ilvl w:val="1"/>
          <w:numId w:val="24"/>
        </w:numPr>
      </w:pPr>
      <w:r w:rsidRPr="00AE3F99">
        <w:t>Other Funds</w:t>
      </w:r>
    </w:p>
    <w:p w14:paraId="28C30AB1" w14:textId="77777777" w:rsidR="005366F4" w:rsidRPr="0066035A" w:rsidRDefault="005366F4" w:rsidP="00135760"/>
    <w:sectPr w:rsidR="005366F4" w:rsidRPr="0066035A" w:rsidSect="003C0411">
      <w:headerReference w:type="default" r:id="rId21"/>
      <w:footerReference w:type="default" r:id="rId22"/>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A05B" w14:textId="77777777" w:rsidR="007C68B9" w:rsidRDefault="007C68B9" w:rsidP="00135760">
      <w:r>
        <w:separator/>
      </w:r>
    </w:p>
  </w:endnote>
  <w:endnote w:type="continuationSeparator" w:id="0">
    <w:p w14:paraId="4F6E5062" w14:textId="77777777" w:rsidR="007C68B9" w:rsidRDefault="007C68B9" w:rsidP="0013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3894"/>
      <w:docPartObj>
        <w:docPartGallery w:val="Page Numbers (Bottom of Page)"/>
        <w:docPartUnique/>
      </w:docPartObj>
    </w:sdtPr>
    <w:sdtEndPr/>
    <w:sdtContent>
      <w:sdt>
        <w:sdtPr>
          <w:id w:val="-1579362460"/>
          <w:docPartObj>
            <w:docPartGallery w:val="Page Numbers (Top of Page)"/>
            <w:docPartUnique/>
          </w:docPartObj>
        </w:sdtPr>
        <w:sdtEndPr/>
        <w:sdtContent>
          <w:p w14:paraId="001A58B3" w14:textId="77777777" w:rsidR="005366F4" w:rsidRPr="005366F4" w:rsidRDefault="005366F4" w:rsidP="00E748F8">
            <w:pPr>
              <w:pStyle w:val="Footer"/>
              <w:jc w:val="center"/>
            </w:pPr>
            <w:r w:rsidRPr="005366F4">
              <w:t xml:space="preserve">Page </w:t>
            </w:r>
            <w:r w:rsidRPr="005366F4">
              <w:fldChar w:fldCharType="begin"/>
            </w:r>
            <w:r w:rsidRPr="005366F4">
              <w:instrText xml:space="preserve"> PAGE </w:instrText>
            </w:r>
            <w:r w:rsidRPr="005366F4">
              <w:fldChar w:fldCharType="separate"/>
            </w:r>
            <w:r w:rsidR="00A4023D">
              <w:rPr>
                <w:noProof/>
              </w:rPr>
              <w:t>7</w:t>
            </w:r>
            <w:r w:rsidRPr="005366F4">
              <w:fldChar w:fldCharType="end"/>
            </w:r>
            <w:r w:rsidRPr="005366F4">
              <w:t xml:space="preserve"> of </w:t>
            </w:r>
            <w:r w:rsidR="00BB6C61">
              <w:rPr>
                <w:noProof/>
              </w:rPr>
              <w:fldChar w:fldCharType="begin"/>
            </w:r>
            <w:r w:rsidR="00BB6C61">
              <w:rPr>
                <w:noProof/>
              </w:rPr>
              <w:instrText xml:space="preserve"> NUMPAGES  </w:instrText>
            </w:r>
            <w:r w:rsidR="00BB6C61">
              <w:rPr>
                <w:noProof/>
              </w:rPr>
              <w:fldChar w:fldCharType="separate"/>
            </w:r>
            <w:r w:rsidR="00A4023D">
              <w:rPr>
                <w:noProof/>
              </w:rPr>
              <w:t>7</w:t>
            </w:r>
            <w:r w:rsidR="00BB6C61">
              <w:rPr>
                <w:noProof/>
              </w:rPr>
              <w:fldChar w:fldCharType="end"/>
            </w:r>
          </w:p>
        </w:sdtContent>
      </w:sdt>
    </w:sdtContent>
  </w:sdt>
  <w:p w14:paraId="0DC98819" w14:textId="77777777" w:rsidR="005366F4" w:rsidRDefault="005366F4" w:rsidP="0013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1FB0" w14:textId="77777777" w:rsidR="007C68B9" w:rsidRDefault="007C68B9" w:rsidP="00135760">
      <w:r>
        <w:separator/>
      </w:r>
    </w:p>
  </w:footnote>
  <w:footnote w:type="continuationSeparator" w:id="0">
    <w:p w14:paraId="07FB34BD" w14:textId="77777777" w:rsidR="007C68B9" w:rsidRDefault="007C68B9" w:rsidP="0013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24E7" w14:textId="0258A402" w:rsidR="00B6465B" w:rsidRDefault="00B6465B" w:rsidP="00B6465B">
    <w:pPr>
      <w:pStyle w:val="Header"/>
      <w:jc w:val="center"/>
    </w:pPr>
    <w:r>
      <w:rPr>
        <w:noProof/>
        <w:lang w:eastAsia="zh-CN"/>
      </w:rPr>
      <w:drawing>
        <wp:inline distT="0" distB="0" distL="0" distR="0" wp14:anchorId="76E4634F" wp14:editId="32C2B69A">
          <wp:extent cx="2038350" cy="58643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950" cy="589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EA0"/>
    <w:multiLevelType w:val="hybridMultilevel"/>
    <w:tmpl w:val="87B48954"/>
    <w:lvl w:ilvl="0" w:tplc="53E63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33BA"/>
    <w:multiLevelType w:val="hybridMultilevel"/>
    <w:tmpl w:val="42727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278EC"/>
    <w:multiLevelType w:val="hybridMultilevel"/>
    <w:tmpl w:val="8C10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4F2E"/>
    <w:multiLevelType w:val="hybridMultilevel"/>
    <w:tmpl w:val="D6ECB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763A7"/>
    <w:multiLevelType w:val="hybridMultilevel"/>
    <w:tmpl w:val="EA8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28F3"/>
    <w:multiLevelType w:val="hybridMultilevel"/>
    <w:tmpl w:val="6F88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F7F5E"/>
    <w:multiLevelType w:val="hybridMultilevel"/>
    <w:tmpl w:val="0908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738A"/>
    <w:multiLevelType w:val="hybridMultilevel"/>
    <w:tmpl w:val="ABA0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21744A"/>
    <w:multiLevelType w:val="hybridMultilevel"/>
    <w:tmpl w:val="3C18F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10D80"/>
    <w:multiLevelType w:val="multilevel"/>
    <w:tmpl w:val="BB9A91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73112D"/>
    <w:multiLevelType w:val="hybridMultilevel"/>
    <w:tmpl w:val="C3FC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44283"/>
    <w:multiLevelType w:val="hybridMultilevel"/>
    <w:tmpl w:val="C8D6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15F4F"/>
    <w:multiLevelType w:val="hybridMultilevel"/>
    <w:tmpl w:val="B64AE4DC"/>
    <w:lvl w:ilvl="0" w:tplc="E30E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47146"/>
    <w:multiLevelType w:val="hybridMultilevel"/>
    <w:tmpl w:val="CAB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57839"/>
    <w:multiLevelType w:val="hybridMultilevel"/>
    <w:tmpl w:val="0CB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02224"/>
    <w:multiLevelType w:val="hybridMultilevel"/>
    <w:tmpl w:val="6AB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54C31"/>
    <w:multiLevelType w:val="hybridMultilevel"/>
    <w:tmpl w:val="EAE4C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418CE"/>
    <w:multiLevelType w:val="hybridMultilevel"/>
    <w:tmpl w:val="B3B8152E"/>
    <w:lvl w:ilvl="0" w:tplc="04090017">
      <w:start w:val="1"/>
      <w:numFmt w:val="lowerLetter"/>
      <w:lvlText w:val="%1)"/>
      <w:lvlJc w:val="left"/>
      <w:pPr>
        <w:ind w:left="900" w:hanging="360"/>
      </w:pPr>
    </w:lvl>
    <w:lvl w:ilvl="1" w:tplc="04090019">
      <w:start w:val="1"/>
      <w:numFmt w:val="lowerLetter"/>
      <w:lvlText w:val="%2."/>
      <w:lvlJc w:val="left"/>
      <w:pPr>
        <w:ind w:left="171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E0B424A"/>
    <w:multiLevelType w:val="hybridMultilevel"/>
    <w:tmpl w:val="3688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93136"/>
    <w:multiLevelType w:val="hybridMultilevel"/>
    <w:tmpl w:val="5900CE4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986254A"/>
    <w:multiLevelType w:val="hybridMultilevel"/>
    <w:tmpl w:val="8682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9D8"/>
    <w:multiLevelType w:val="hybridMultilevel"/>
    <w:tmpl w:val="914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84326"/>
    <w:multiLevelType w:val="hybridMultilevel"/>
    <w:tmpl w:val="873ED6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6BB004D8"/>
    <w:multiLevelType w:val="hybridMultilevel"/>
    <w:tmpl w:val="16202734"/>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DEE0B7D"/>
    <w:multiLevelType w:val="multilevel"/>
    <w:tmpl w:val="B992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5B21A7"/>
    <w:multiLevelType w:val="hybridMultilevel"/>
    <w:tmpl w:val="259881C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C225DC"/>
    <w:multiLevelType w:val="hybridMultilevel"/>
    <w:tmpl w:val="25385A6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76BD11FC"/>
    <w:multiLevelType w:val="hybridMultilevel"/>
    <w:tmpl w:val="56D8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302D1"/>
    <w:multiLevelType w:val="hybridMultilevel"/>
    <w:tmpl w:val="B64AE4DC"/>
    <w:lvl w:ilvl="0" w:tplc="E30E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4A5671"/>
    <w:multiLevelType w:val="hybridMultilevel"/>
    <w:tmpl w:val="EFD8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B556D"/>
    <w:multiLevelType w:val="hybridMultilevel"/>
    <w:tmpl w:val="853A9E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C4F28"/>
    <w:multiLevelType w:val="hybridMultilevel"/>
    <w:tmpl w:val="E826A1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12"/>
  </w:num>
  <w:num w:numId="4">
    <w:abstractNumId w:val="28"/>
  </w:num>
  <w:num w:numId="5">
    <w:abstractNumId w:val="7"/>
  </w:num>
  <w:num w:numId="6">
    <w:abstractNumId w:val="5"/>
  </w:num>
  <w:num w:numId="7">
    <w:abstractNumId w:val="4"/>
  </w:num>
  <w:num w:numId="8">
    <w:abstractNumId w:val="21"/>
  </w:num>
  <w:num w:numId="9">
    <w:abstractNumId w:val="10"/>
  </w:num>
  <w:num w:numId="10">
    <w:abstractNumId w:val="11"/>
  </w:num>
  <w:num w:numId="11">
    <w:abstractNumId w:val="25"/>
  </w:num>
  <w:num w:numId="12">
    <w:abstractNumId w:val="27"/>
  </w:num>
  <w:num w:numId="13">
    <w:abstractNumId w:val="26"/>
  </w:num>
  <w:num w:numId="14">
    <w:abstractNumId w:val="20"/>
  </w:num>
  <w:num w:numId="15">
    <w:abstractNumId w:val="23"/>
  </w:num>
  <w:num w:numId="16">
    <w:abstractNumId w:val="2"/>
  </w:num>
  <w:num w:numId="17">
    <w:abstractNumId w:val="1"/>
  </w:num>
  <w:num w:numId="18">
    <w:abstractNumId w:val="8"/>
  </w:num>
  <w:num w:numId="19">
    <w:abstractNumId w:val="13"/>
  </w:num>
  <w:num w:numId="20">
    <w:abstractNumId w:val="31"/>
  </w:num>
  <w:num w:numId="21">
    <w:abstractNumId w:val="24"/>
  </w:num>
  <w:num w:numId="22">
    <w:abstractNumId w:val="24"/>
  </w:num>
  <w:num w:numId="23">
    <w:abstractNumId w:val="24"/>
  </w:num>
  <w:num w:numId="24">
    <w:abstractNumId w:val="3"/>
  </w:num>
  <w:num w:numId="25">
    <w:abstractNumId w:val="0"/>
  </w:num>
  <w:num w:numId="26">
    <w:abstractNumId w:val="6"/>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4"/>
  </w:num>
  <w:num w:numId="37">
    <w:abstractNumId w:val="15"/>
  </w:num>
  <w:num w:numId="38">
    <w:abstractNumId w:val="17"/>
  </w:num>
  <w:num w:numId="39">
    <w:abstractNumId w:val="19"/>
  </w:num>
  <w:num w:numId="40">
    <w:abstractNumId w:val="22"/>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FE"/>
    <w:rsid w:val="000213E5"/>
    <w:rsid w:val="00080548"/>
    <w:rsid w:val="00081164"/>
    <w:rsid w:val="000A5E22"/>
    <w:rsid w:val="000A6A61"/>
    <w:rsid w:val="000B1098"/>
    <w:rsid w:val="000B27F4"/>
    <w:rsid w:val="000C7325"/>
    <w:rsid w:val="000D1E2B"/>
    <w:rsid w:val="000E6A88"/>
    <w:rsid w:val="00135760"/>
    <w:rsid w:val="00135ABE"/>
    <w:rsid w:val="001618DC"/>
    <w:rsid w:val="00190474"/>
    <w:rsid w:val="001B5DAE"/>
    <w:rsid w:val="001C58DB"/>
    <w:rsid w:val="001F33A9"/>
    <w:rsid w:val="002272A4"/>
    <w:rsid w:val="002424FC"/>
    <w:rsid w:val="00246650"/>
    <w:rsid w:val="00297E48"/>
    <w:rsid w:val="002A5BD7"/>
    <w:rsid w:val="002A6E11"/>
    <w:rsid w:val="002B4A51"/>
    <w:rsid w:val="002C388D"/>
    <w:rsid w:val="002C5A01"/>
    <w:rsid w:val="002E6619"/>
    <w:rsid w:val="0030539F"/>
    <w:rsid w:val="00350776"/>
    <w:rsid w:val="00364F36"/>
    <w:rsid w:val="00374F6D"/>
    <w:rsid w:val="003871F7"/>
    <w:rsid w:val="003C0411"/>
    <w:rsid w:val="003D73FB"/>
    <w:rsid w:val="003E6BD4"/>
    <w:rsid w:val="00406957"/>
    <w:rsid w:val="00422CB7"/>
    <w:rsid w:val="00443B50"/>
    <w:rsid w:val="0049392E"/>
    <w:rsid w:val="004B0BA7"/>
    <w:rsid w:val="004E6FB1"/>
    <w:rsid w:val="0050400A"/>
    <w:rsid w:val="005071CE"/>
    <w:rsid w:val="005366F4"/>
    <w:rsid w:val="00541D58"/>
    <w:rsid w:val="005D0A44"/>
    <w:rsid w:val="005D491B"/>
    <w:rsid w:val="005D7EB6"/>
    <w:rsid w:val="00621D4C"/>
    <w:rsid w:val="00655BAB"/>
    <w:rsid w:val="0065763B"/>
    <w:rsid w:val="0066035A"/>
    <w:rsid w:val="00674DA2"/>
    <w:rsid w:val="00676C63"/>
    <w:rsid w:val="006B5FFA"/>
    <w:rsid w:val="006D396D"/>
    <w:rsid w:val="006D6EBA"/>
    <w:rsid w:val="00703724"/>
    <w:rsid w:val="00705B1E"/>
    <w:rsid w:val="00714405"/>
    <w:rsid w:val="0072734C"/>
    <w:rsid w:val="00736EB6"/>
    <w:rsid w:val="007554FA"/>
    <w:rsid w:val="007959EA"/>
    <w:rsid w:val="007C68B9"/>
    <w:rsid w:val="00814DF2"/>
    <w:rsid w:val="00835EEE"/>
    <w:rsid w:val="00871B87"/>
    <w:rsid w:val="008A6CAE"/>
    <w:rsid w:val="008B2F07"/>
    <w:rsid w:val="008F2A8C"/>
    <w:rsid w:val="00921B55"/>
    <w:rsid w:val="009A53F8"/>
    <w:rsid w:val="00A02A91"/>
    <w:rsid w:val="00A1793D"/>
    <w:rsid w:val="00A23613"/>
    <w:rsid w:val="00A4023D"/>
    <w:rsid w:val="00A5074C"/>
    <w:rsid w:val="00A91979"/>
    <w:rsid w:val="00AA2A09"/>
    <w:rsid w:val="00AB3A82"/>
    <w:rsid w:val="00AB3BE2"/>
    <w:rsid w:val="00AC2D6D"/>
    <w:rsid w:val="00AE3F99"/>
    <w:rsid w:val="00B24D96"/>
    <w:rsid w:val="00B43435"/>
    <w:rsid w:val="00B6465B"/>
    <w:rsid w:val="00B67FFE"/>
    <w:rsid w:val="00BB66FF"/>
    <w:rsid w:val="00BB6C61"/>
    <w:rsid w:val="00BF118C"/>
    <w:rsid w:val="00BF45D1"/>
    <w:rsid w:val="00C476FB"/>
    <w:rsid w:val="00C57047"/>
    <w:rsid w:val="00CB43F9"/>
    <w:rsid w:val="00D063C2"/>
    <w:rsid w:val="00D137E5"/>
    <w:rsid w:val="00D22261"/>
    <w:rsid w:val="00D35A33"/>
    <w:rsid w:val="00D54ACF"/>
    <w:rsid w:val="00DC6E59"/>
    <w:rsid w:val="00E06386"/>
    <w:rsid w:val="00E12372"/>
    <w:rsid w:val="00E124E2"/>
    <w:rsid w:val="00E13DA2"/>
    <w:rsid w:val="00E1620E"/>
    <w:rsid w:val="00E20AB8"/>
    <w:rsid w:val="00E5453B"/>
    <w:rsid w:val="00E748F8"/>
    <w:rsid w:val="00E752BA"/>
    <w:rsid w:val="00E93243"/>
    <w:rsid w:val="00EC7076"/>
    <w:rsid w:val="00F357A5"/>
    <w:rsid w:val="00F46E60"/>
    <w:rsid w:val="00F604EA"/>
    <w:rsid w:val="00F638C4"/>
    <w:rsid w:val="00F81ED2"/>
    <w:rsid w:val="00FA6871"/>
    <w:rsid w:val="00FB65CF"/>
    <w:rsid w:val="00FE0E8A"/>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B437"/>
  <w15:docId w15:val="{9B947258-9E9A-4395-94FC-A8512CA9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760"/>
    <w:pPr>
      <w:spacing w:after="0" w:line="240" w:lineRule="auto"/>
      <w:jc w:val="both"/>
    </w:pPr>
    <w:rPr>
      <w:rFonts w:ascii="Arial" w:eastAsia="Times New Roman" w:hAnsi="Arial" w:cs="Arial"/>
    </w:rPr>
  </w:style>
  <w:style w:type="paragraph" w:styleId="Heading1">
    <w:name w:val="heading 1"/>
    <w:basedOn w:val="ListParagraph"/>
    <w:next w:val="Normal"/>
    <w:link w:val="Heading1Char"/>
    <w:uiPriority w:val="9"/>
    <w:qFormat/>
    <w:rsid w:val="0050400A"/>
    <w:pPr>
      <w:numPr>
        <w:numId w:val="27"/>
      </w:numPr>
      <w:spacing w:before="120" w:after="120"/>
      <w:outlineLvl w:val="0"/>
    </w:pPr>
    <w:rPr>
      <w:b/>
      <w:u w:val="single"/>
    </w:rPr>
  </w:style>
  <w:style w:type="paragraph" w:styleId="Heading2">
    <w:name w:val="heading 2"/>
    <w:basedOn w:val="Heading1"/>
    <w:next w:val="Normal"/>
    <w:link w:val="Heading2Char"/>
    <w:uiPriority w:val="9"/>
    <w:unhideWhenUsed/>
    <w:qFormat/>
    <w:rsid w:val="009A53F8"/>
    <w:pPr>
      <w:numPr>
        <w:ilvl w:val="1"/>
      </w:numPr>
      <w:outlineLvl w:val="1"/>
    </w:pPr>
    <w:rPr>
      <w:u w:val="none"/>
    </w:rPr>
  </w:style>
  <w:style w:type="paragraph" w:styleId="Heading3">
    <w:name w:val="heading 3"/>
    <w:basedOn w:val="ListParagraph"/>
    <w:next w:val="Normal"/>
    <w:link w:val="Heading3Char"/>
    <w:uiPriority w:val="9"/>
    <w:unhideWhenUsed/>
    <w:qFormat/>
    <w:rsid w:val="003C0411"/>
    <w:pPr>
      <w:numPr>
        <w:ilvl w:val="2"/>
        <w:numId w:val="27"/>
      </w:numPr>
      <w:spacing w:before="120" w:after="120"/>
      <w:outlineLvl w:val="2"/>
    </w:pPr>
  </w:style>
  <w:style w:type="paragraph" w:styleId="Heading4">
    <w:name w:val="heading 4"/>
    <w:basedOn w:val="Normal"/>
    <w:next w:val="Normal"/>
    <w:link w:val="Heading4Char"/>
    <w:uiPriority w:val="9"/>
    <w:semiHidden/>
    <w:unhideWhenUsed/>
    <w:qFormat/>
    <w:rsid w:val="00135760"/>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35760"/>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35760"/>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5760"/>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576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5760"/>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FE"/>
    <w:pPr>
      <w:ind w:left="720"/>
    </w:pPr>
    <w:rPr>
      <w:szCs w:val="20"/>
    </w:rPr>
  </w:style>
  <w:style w:type="character" w:styleId="Hyperlink">
    <w:name w:val="Hyperlink"/>
    <w:basedOn w:val="DefaultParagraphFont"/>
    <w:uiPriority w:val="99"/>
    <w:unhideWhenUsed/>
    <w:rsid w:val="00B67FFE"/>
    <w:rPr>
      <w:color w:val="0000FF" w:themeColor="hyperlink"/>
      <w:u w:val="single"/>
    </w:rPr>
  </w:style>
  <w:style w:type="paragraph" w:customStyle="1" w:styleId="m-8963997607157555733gmail-msolistparagraph">
    <w:name w:val="m_-8963997607157555733gmail-msolistparagraph"/>
    <w:basedOn w:val="Normal"/>
    <w:rsid w:val="00B67FFE"/>
    <w:pPr>
      <w:spacing w:before="100" w:beforeAutospacing="1" w:after="100" w:afterAutospacing="1" w:line="288" w:lineRule="auto"/>
    </w:pPr>
    <w:rPr>
      <w:rFonts w:eastAsiaTheme="minorEastAsia"/>
      <w:iCs/>
      <w:sz w:val="21"/>
      <w:szCs w:val="21"/>
    </w:rPr>
  </w:style>
  <w:style w:type="character" w:customStyle="1" w:styleId="apple-converted-space">
    <w:name w:val="apple-converted-space"/>
    <w:basedOn w:val="DefaultParagraphFont"/>
    <w:rsid w:val="00B67FFE"/>
  </w:style>
  <w:style w:type="paragraph" w:styleId="EndnoteText">
    <w:name w:val="endnote text"/>
    <w:basedOn w:val="Normal"/>
    <w:link w:val="EndnoteTextChar"/>
    <w:uiPriority w:val="99"/>
    <w:unhideWhenUsed/>
    <w:rsid w:val="00B67FFE"/>
    <w:rPr>
      <w:rFonts w:asciiTheme="minorHAnsi" w:eastAsiaTheme="minorEastAsia" w:hAnsiTheme="minorHAnsi" w:cstheme="minorBidi"/>
      <w:iCs/>
    </w:rPr>
  </w:style>
  <w:style w:type="character" w:customStyle="1" w:styleId="EndnoteTextChar">
    <w:name w:val="Endnote Text Char"/>
    <w:basedOn w:val="DefaultParagraphFont"/>
    <w:link w:val="EndnoteText"/>
    <w:uiPriority w:val="99"/>
    <w:rsid w:val="00B67FFE"/>
    <w:rPr>
      <w:rFonts w:eastAsiaTheme="minorEastAsia"/>
      <w:iCs/>
      <w:sz w:val="24"/>
      <w:szCs w:val="24"/>
    </w:rPr>
  </w:style>
  <w:style w:type="character" w:styleId="EndnoteReference">
    <w:name w:val="endnote reference"/>
    <w:basedOn w:val="DefaultParagraphFont"/>
    <w:uiPriority w:val="99"/>
    <w:unhideWhenUsed/>
    <w:rsid w:val="00B67FFE"/>
    <w:rPr>
      <w:vertAlign w:val="superscript"/>
    </w:rPr>
  </w:style>
  <w:style w:type="character" w:styleId="CommentReference">
    <w:name w:val="annotation reference"/>
    <w:basedOn w:val="DefaultParagraphFont"/>
    <w:uiPriority w:val="99"/>
    <w:semiHidden/>
    <w:unhideWhenUsed/>
    <w:rsid w:val="00A02A91"/>
    <w:rPr>
      <w:sz w:val="16"/>
      <w:szCs w:val="16"/>
    </w:rPr>
  </w:style>
  <w:style w:type="paragraph" w:styleId="CommentText">
    <w:name w:val="annotation text"/>
    <w:basedOn w:val="Normal"/>
    <w:link w:val="CommentTextChar"/>
    <w:uiPriority w:val="99"/>
    <w:unhideWhenUsed/>
    <w:rsid w:val="00A02A91"/>
    <w:rPr>
      <w:sz w:val="20"/>
      <w:szCs w:val="20"/>
    </w:rPr>
  </w:style>
  <w:style w:type="character" w:customStyle="1" w:styleId="CommentTextChar">
    <w:name w:val="Comment Text Char"/>
    <w:basedOn w:val="DefaultParagraphFont"/>
    <w:link w:val="CommentText"/>
    <w:uiPriority w:val="99"/>
    <w:rsid w:val="00A02A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A91"/>
    <w:rPr>
      <w:b/>
      <w:bCs/>
    </w:rPr>
  </w:style>
  <w:style w:type="character" w:customStyle="1" w:styleId="CommentSubjectChar">
    <w:name w:val="Comment Subject Char"/>
    <w:basedOn w:val="CommentTextChar"/>
    <w:link w:val="CommentSubject"/>
    <w:uiPriority w:val="99"/>
    <w:semiHidden/>
    <w:rsid w:val="00A02A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A91"/>
    <w:rPr>
      <w:rFonts w:ascii="Tahoma" w:hAnsi="Tahoma" w:cs="Tahoma"/>
      <w:sz w:val="16"/>
      <w:szCs w:val="16"/>
    </w:rPr>
  </w:style>
  <w:style w:type="character" w:customStyle="1" w:styleId="BalloonTextChar">
    <w:name w:val="Balloon Text Char"/>
    <w:basedOn w:val="DefaultParagraphFont"/>
    <w:link w:val="BalloonText"/>
    <w:uiPriority w:val="99"/>
    <w:semiHidden/>
    <w:rsid w:val="00A02A91"/>
    <w:rPr>
      <w:rFonts w:ascii="Tahoma" w:eastAsia="Times New Roman" w:hAnsi="Tahoma" w:cs="Tahoma"/>
      <w:sz w:val="16"/>
      <w:szCs w:val="16"/>
    </w:rPr>
  </w:style>
  <w:style w:type="character" w:customStyle="1" w:styleId="Heading1Char">
    <w:name w:val="Heading 1 Char"/>
    <w:basedOn w:val="DefaultParagraphFont"/>
    <w:link w:val="Heading1"/>
    <w:uiPriority w:val="9"/>
    <w:rsid w:val="0050400A"/>
    <w:rPr>
      <w:rFonts w:ascii="Arial" w:eastAsia="Times New Roman" w:hAnsi="Arial" w:cs="Arial"/>
      <w:b/>
      <w:szCs w:val="20"/>
      <w:u w:val="single"/>
    </w:rPr>
  </w:style>
  <w:style w:type="character" w:customStyle="1" w:styleId="Heading2Char">
    <w:name w:val="Heading 2 Char"/>
    <w:basedOn w:val="DefaultParagraphFont"/>
    <w:link w:val="Heading2"/>
    <w:uiPriority w:val="9"/>
    <w:rsid w:val="009A53F8"/>
    <w:rPr>
      <w:rFonts w:ascii="Arial" w:eastAsia="Times New Roman" w:hAnsi="Arial" w:cs="Arial"/>
      <w:b/>
      <w:sz w:val="24"/>
      <w:szCs w:val="20"/>
    </w:rPr>
  </w:style>
  <w:style w:type="paragraph" w:styleId="Header">
    <w:name w:val="header"/>
    <w:basedOn w:val="Normal"/>
    <w:link w:val="HeaderChar"/>
    <w:uiPriority w:val="99"/>
    <w:unhideWhenUsed/>
    <w:rsid w:val="005366F4"/>
    <w:pPr>
      <w:tabs>
        <w:tab w:val="center" w:pos="4680"/>
        <w:tab w:val="right" w:pos="9360"/>
      </w:tabs>
    </w:pPr>
  </w:style>
  <w:style w:type="character" w:customStyle="1" w:styleId="HeaderChar">
    <w:name w:val="Header Char"/>
    <w:basedOn w:val="DefaultParagraphFont"/>
    <w:link w:val="Header"/>
    <w:uiPriority w:val="99"/>
    <w:rsid w:val="00536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6F4"/>
    <w:pPr>
      <w:tabs>
        <w:tab w:val="center" w:pos="4680"/>
        <w:tab w:val="right" w:pos="9360"/>
      </w:tabs>
    </w:pPr>
  </w:style>
  <w:style w:type="character" w:customStyle="1" w:styleId="FooterChar">
    <w:name w:val="Footer Char"/>
    <w:basedOn w:val="DefaultParagraphFont"/>
    <w:link w:val="Footer"/>
    <w:uiPriority w:val="99"/>
    <w:rsid w:val="005366F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C0411"/>
    <w:rPr>
      <w:rFonts w:ascii="Arial" w:eastAsia="Times New Roman" w:hAnsi="Arial" w:cs="Arial"/>
      <w:szCs w:val="20"/>
    </w:rPr>
  </w:style>
  <w:style w:type="character" w:customStyle="1" w:styleId="Heading4Char">
    <w:name w:val="Heading 4 Char"/>
    <w:basedOn w:val="DefaultParagraphFont"/>
    <w:link w:val="Heading4"/>
    <w:uiPriority w:val="9"/>
    <w:semiHidden/>
    <w:rsid w:val="00135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35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35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35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357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576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unhideWhenUsed/>
    <w:rsid w:val="0079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3F99"/>
    <w:rPr>
      <w:color w:val="800080" w:themeColor="followedHyperlink"/>
      <w:u w:val="single"/>
    </w:rPr>
  </w:style>
  <w:style w:type="character" w:customStyle="1" w:styleId="UnresolvedMention1">
    <w:name w:val="Unresolved Mention1"/>
    <w:basedOn w:val="DefaultParagraphFont"/>
    <w:uiPriority w:val="99"/>
    <w:semiHidden/>
    <w:unhideWhenUsed/>
    <w:rsid w:val="00AE3F99"/>
    <w:rPr>
      <w:color w:val="605E5C"/>
      <w:shd w:val="clear" w:color="auto" w:fill="E1DFDD"/>
    </w:rPr>
  </w:style>
  <w:style w:type="paragraph" w:styleId="Revision">
    <w:name w:val="Revision"/>
    <w:hidden/>
    <w:uiPriority w:val="99"/>
    <w:semiHidden/>
    <w:rsid w:val="002C388D"/>
    <w:pPr>
      <w:spacing w:after="0" w:line="240" w:lineRule="auto"/>
    </w:pPr>
    <w:rPr>
      <w:rFonts w:ascii="Arial" w:eastAsia="Times New Roman" w:hAnsi="Arial" w:cs="Arial"/>
    </w:rPr>
  </w:style>
  <w:style w:type="character" w:customStyle="1" w:styleId="UnresolvedMention2">
    <w:name w:val="Unresolved Mention2"/>
    <w:basedOn w:val="DefaultParagraphFont"/>
    <w:uiPriority w:val="99"/>
    <w:rsid w:val="00F81ED2"/>
    <w:rPr>
      <w:color w:val="605E5C"/>
      <w:shd w:val="clear" w:color="auto" w:fill="E1DFDD"/>
    </w:rPr>
  </w:style>
  <w:style w:type="character" w:customStyle="1" w:styleId="UnresolvedMention3">
    <w:name w:val="Unresolved Mention3"/>
    <w:basedOn w:val="DefaultParagraphFont"/>
    <w:uiPriority w:val="99"/>
    <w:rsid w:val="00A91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6690">
      <w:bodyDiv w:val="1"/>
      <w:marLeft w:val="0"/>
      <w:marRight w:val="0"/>
      <w:marTop w:val="0"/>
      <w:marBottom w:val="0"/>
      <w:divBdr>
        <w:top w:val="none" w:sz="0" w:space="0" w:color="auto"/>
        <w:left w:val="none" w:sz="0" w:space="0" w:color="auto"/>
        <w:bottom w:val="none" w:sz="0" w:space="0" w:color="auto"/>
        <w:right w:val="none" w:sz="0" w:space="0" w:color="auto"/>
      </w:divBdr>
    </w:div>
    <w:div w:id="13676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ograms@peninsulacleanenergy.com" TargetMode="External"/><Relationship Id="rId13" Type="http://schemas.openxmlformats.org/officeDocument/2006/relationships/hyperlink" Target="http://www.caiso.com/TodaysOutlook/Pages/Emissions.aspx" TargetMode="Externa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ninsulacleanenergy.com/wp-content/uploads/2017/01/PCE-Policy-10-final-1.pdf" TargetMode="External"/><Relationship Id="rId17" Type="http://schemas.openxmlformats.org/officeDocument/2006/relationships/hyperlink" Target="https://tinyurl.com/SMCoCVI" TargetMode="External"/><Relationship Id="rId2" Type="http://schemas.openxmlformats.org/officeDocument/2006/relationships/numbering" Target="numbering.xml"/><Relationship Id="rId16" Type="http://schemas.openxmlformats.org/officeDocument/2006/relationships/hyperlink" Target="http://cmo.smcgov.org/cvi" TargetMode="External"/><Relationship Id="rId20" Type="http://schemas.openxmlformats.org/officeDocument/2006/relationships/hyperlink" Target="https://www.peninsulacleanenergy.com/wp-content/uploads/2018/06/PCE-CommunityPilots-Budget-Template-6.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peninsulacleanenerg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mo.smcgov.org/cvi" TargetMode="External"/><Relationship Id="rId23" Type="http://schemas.openxmlformats.org/officeDocument/2006/relationships/fontTable" Target="fontTable.xml"/><Relationship Id="rId10" Type="http://schemas.openxmlformats.org/officeDocument/2006/relationships/hyperlink" Target="https://tinyurl.com/PCEPilotSummaries" TargetMode="External"/><Relationship Id="rId19" Type="http://schemas.openxmlformats.org/officeDocument/2006/relationships/hyperlink" Target="https://www.peninsulacleanenergy.com/wp-content/uploads/2018/01/PCE-FINAL-2017-IRP-Updated.pdf" TargetMode="External"/><Relationship Id="rId4" Type="http://schemas.openxmlformats.org/officeDocument/2006/relationships/settings" Target="settings.xml"/><Relationship Id="rId9" Type="http://schemas.openxmlformats.org/officeDocument/2006/relationships/hyperlink" Target="https://docs.google.com/forms/d/e/1FAIpQLSc1tNmgidrvkwwrXCy2dyOU_N756ARC3qhWfREZMtCCnI2Ndw/viewform?usp=sf_link" TargetMode="External"/><Relationship Id="rId14" Type="http://schemas.openxmlformats.org/officeDocument/2006/relationships/hyperlink" Target="https://www.peninsulacleanenergy.com/wp-content/uploads/2017/01/PCE-Policy-10-final-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E34B-D4EA-473D-A937-0BB9EBC9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RReyes</dc:creator>
  <cp:keywords/>
  <dc:description/>
  <cp:lastModifiedBy>Charlsie Chang</cp:lastModifiedBy>
  <cp:revision>2</cp:revision>
  <cp:lastPrinted>2018-06-21T05:38:00Z</cp:lastPrinted>
  <dcterms:created xsi:type="dcterms:W3CDTF">2018-08-01T18:45:00Z</dcterms:created>
  <dcterms:modified xsi:type="dcterms:W3CDTF">2018-08-01T18:45:00Z</dcterms:modified>
</cp:coreProperties>
</file>