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265A" w14:textId="77777777" w:rsidR="00984A41" w:rsidRDefault="00984A41" w:rsidP="00984A41">
      <w:pPr>
        <w:jc w:val="center"/>
      </w:pPr>
      <w:r>
        <w:rPr>
          <w:noProof/>
        </w:rPr>
        <w:drawing>
          <wp:inline distT="0" distB="0" distL="0" distR="0" wp14:anchorId="1FFDD091" wp14:editId="67371946">
            <wp:extent cx="2849880" cy="2849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5ED8F960" w14:textId="77777777" w:rsidR="00984A41" w:rsidRDefault="00984A41" w:rsidP="00984A41">
      <w:pPr>
        <w:jc w:val="center"/>
        <w:rPr>
          <w:rFonts w:ascii="Ubuntu" w:hAnsi="Ubuntu"/>
          <w:b/>
        </w:rPr>
      </w:pPr>
    </w:p>
    <w:p w14:paraId="44E3B7EF" w14:textId="10BED3B0" w:rsidR="00984A41" w:rsidRDefault="00F4278B" w:rsidP="00984A41">
      <w:pPr>
        <w:jc w:val="center"/>
        <w:rPr>
          <w:rFonts w:ascii="Ubuntu" w:hAnsi="Ubuntu"/>
          <w:b/>
          <w:sz w:val="44"/>
          <w:szCs w:val="44"/>
        </w:rPr>
      </w:pPr>
      <w:r>
        <w:rPr>
          <w:rFonts w:ascii="Ubuntu" w:hAnsi="Ubuntu"/>
          <w:b/>
          <w:sz w:val="44"/>
          <w:szCs w:val="44"/>
        </w:rPr>
        <w:t xml:space="preserve">2018 </w:t>
      </w:r>
      <w:r w:rsidR="008977F7">
        <w:rPr>
          <w:rFonts w:ascii="Ubuntu" w:hAnsi="Ubuntu"/>
          <w:b/>
          <w:sz w:val="44"/>
          <w:szCs w:val="44"/>
        </w:rPr>
        <w:t xml:space="preserve">Building and EV Reach Code Consultant </w:t>
      </w:r>
      <w:r w:rsidR="00AE7916">
        <w:rPr>
          <w:rFonts w:ascii="Ubuntu" w:hAnsi="Ubuntu"/>
          <w:b/>
          <w:sz w:val="44"/>
          <w:szCs w:val="44"/>
        </w:rPr>
        <w:t>Request for Proposals</w:t>
      </w:r>
    </w:p>
    <w:p w14:paraId="6F14206A" w14:textId="77777777" w:rsidR="00984A41" w:rsidRDefault="00984A41" w:rsidP="00984A41">
      <w:pPr>
        <w:jc w:val="center"/>
        <w:rPr>
          <w:rFonts w:ascii="Ubuntu" w:hAnsi="Ubuntu"/>
          <w:b/>
          <w:sz w:val="44"/>
          <w:szCs w:val="44"/>
        </w:rPr>
      </w:pPr>
    </w:p>
    <w:p w14:paraId="722C857B" w14:textId="1B6E39FE" w:rsidR="00984A41" w:rsidRDefault="00984A41" w:rsidP="00984A41">
      <w:pPr>
        <w:jc w:val="center"/>
        <w:rPr>
          <w:rFonts w:ascii="Ubuntu" w:hAnsi="Ubuntu"/>
          <w:b/>
          <w:sz w:val="44"/>
          <w:szCs w:val="44"/>
        </w:rPr>
      </w:pPr>
      <w:r>
        <w:rPr>
          <w:rFonts w:ascii="Ubuntu" w:hAnsi="Ubuntu"/>
          <w:b/>
          <w:sz w:val="44"/>
          <w:szCs w:val="44"/>
        </w:rPr>
        <w:t>Q</w:t>
      </w:r>
      <w:r w:rsidR="004142AB">
        <w:rPr>
          <w:rFonts w:ascii="Ubuntu" w:hAnsi="Ubuntu"/>
          <w:b/>
          <w:sz w:val="44"/>
          <w:szCs w:val="44"/>
        </w:rPr>
        <w:t>uestions &amp; Answers</w:t>
      </w:r>
    </w:p>
    <w:p w14:paraId="3109AD01" w14:textId="77777777" w:rsidR="00984A41" w:rsidRPr="00A972AE" w:rsidRDefault="00984A41" w:rsidP="00AE7916">
      <w:pPr>
        <w:rPr>
          <w:rFonts w:cs="Arial"/>
          <w:color w:val="4E4540"/>
          <w:shd w:val="clear" w:color="auto" w:fill="FFFFFF"/>
        </w:rPr>
      </w:pPr>
    </w:p>
    <w:p w14:paraId="5B3ED9CD" w14:textId="77777777" w:rsidR="00984A41" w:rsidRDefault="00984A41" w:rsidP="00984A41">
      <w:pPr>
        <w:rPr>
          <w:rFonts w:cs="Arial"/>
          <w:i/>
          <w:color w:val="4E4540"/>
          <w:shd w:val="clear" w:color="auto" w:fill="FFFFFF"/>
        </w:rPr>
      </w:pPr>
    </w:p>
    <w:p w14:paraId="15367088" w14:textId="77777777" w:rsidR="00984A41" w:rsidRDefault="00984A41" w:rsidP="00984A41">
      <w:pPr>
        <w:jc w:val="center"/>
        <w:rPr>
          <w:rFonts w:cs="Arial"/>
          <w:i/>
          <w:color w:val="4E4540"/>
          <w:shd w:val="clear" w:color="auto" w:fill="FFFFFF"/>
        </w:rPr>
      </w:pPr>
      <w:r w:rsidRPr="00A972AE">
        <w:rPr>
          <w:rFonts w:cs="Arial"/>
          <w:i/>
          <w:color w:val="4E4540"/>
          <w:shd w:val="clear" w:color="auto" w:fill="FFFFFF"/>
        </w:rPr>
        <w:t>Peninsula Clean Energy is San Mateo County’s locally-controlled electricity provider. We are reducing greenhouse gas emissions and offering customer choice at competitive rates.</w:t>
      </w:r>
    </w:p>
    <w:p w14:paraId="6487C9D3" w14:textId="77777777" w:rsidR="00984A41" w:rsidRDefault="00984A41" w:rsidP="00984A41">
      <w:pPr>
        <w:jc w:val="center"/>
        <w:rPr>
          <w:b/>
        </w:rPr>
      </w:pPr>
    </w:p>
    <w:p w14:paraId="48569B3D" w14:textId="77777777" w:rsidR="00984A41" w:rsidRDefault="00984A41" w:rsidP="00984A41">
      <w:pPr>
        <w:jc w:val="center"/>
        <w:rPr>
          <w:b/>
        </w:rPr>
      </w:pPr>
    </w:p>
    <w:p w14:paraId="3D8E491A" w14:textId="590EB92C" w:rsidR="00984A41" w:rsidRDefault="006A1D45" w:rsidP="00984A41">
      <w:pPr>
        <w:jc w:val="center"/>
        <w:rPr>
          <w:b/>
        </w:rPr>
      </w:pPr>
      <w:r>
        <w:rPr>
          <w:b/>
        </w:rPr>
        <w:t>Offers due Thursday</w:t>
      </w:r>
      <w:r w:rsidR="00121AB0">
        <w:rPr>
          <w:b/>
        </w:rPr>
        <w:t>,</w:t>
      </w:r>
      <w:r w:rsidR="008977F7">
        <w:rPr>
          <w:b/>
        </w:rPr>
        <w:t xml:space="preserve"> January 3,</w:t>
      </w:r>
      <w:r w:rsidR="00121AB0">
        <w:rPr>
          <w:b/>
        </w:rPr>
        <w:t xml:space="preserve"> 2018 at 5</w:t>
      </w:r>
      <w:r w:rsidR="00984A41" w:rsidRPr="00EF6750">
        <w:rPr>
          <w:b/>
        </w:rPr>
        <w:t xml:space="preserve">:00 </w:t>
      </w:r>
      <w:r w:rsidR="00984A41">
        <w:rPr>
          <w:b/>
        </w:rPr>
        <w:t>pm</w:t>
      </w:r>
      <w:r w:rsidR="00AE7916">
        <w:rPr>
          <w:b/>
        </w:rPr>
        <w:t xml:space="preserve"> P</w:t>
      </w:r>
      <w:r w:rsidR="00984A41" w:rsidRPr="00EF6750">
        <w:rPr>
          <w:b/>
        </w:rPr>
        <w:t>T</w:t>
      </w:r>
    </w:p>
    <w:p w14:paraId="16975166" w14:textId="77777777" w:rsidR="00984A41" w:rsidRDefault="00984A41">
      <w:pPr>
        <w:rPr>
          <w:b/>
        </w:rPr>
      </w:pPr>
      <w:r>
        <w:rPr>
          <w:b/>
        </w:rPr>
        <w:br w:type="page"/>
      </w:r>
    </w:p>
    <w:tbl>
      <w:tblPr>
        <w:tblStyle w:val="TableGrid"/>
        <w:tblW w:w="10800" w:type="dxa"/>
        <w:tblInd w:w="-725" w:type="dxa"/>
        <w:tblLook w:val="04A0" w:firstRow="1" w:lastRow="0" w:firstColumn="1" w:lastColumn="0" w:noHBand="0" w:noVBand="1"/>
      </w:tblPr>
      <w:tblGrid>
        <w:gridCol w:w="548"/>
        <w:gridCol w:w="5122"/>
        <w:gridCol w:w="5130"/>
      </w:tblGrid>
      <w:tr w:rsidR="00E968D9" w14:paraId="11CA58A9" w14:textId="77777777" w:rsidTr="00F4278B">
        <w:trPr>
          <w:trHeight w:val="323"/>
        </w:trPr>
        <w:tc>
          <w:tcPr>
            <w:tcW w:w="548" w:type="dxa"/>
          </w:tcPr>
          <w:p w14:paraId="54263D79" w14:textId="4AE3BF5D" w:rsidR="00E968D9" w:rsidRPr="00B45D5F" w:rsidRDefault="00E968D9" w:rsidP="00E968D9">
            <w:pPr>
              <w:rPr>
                <w:b/>
              </w:rPr>
            </w:pPr>
            <w:r w:rsidRPr="00B45D5F">
              <w:rPr>
                <w:b/>
              </w:rPr>
              <w:lastRenderedPageBreak/>
              <w:t>#</w:t>
            </w:r>
          </w:p>
        </w:tc>
        <w:tc>
          <w:tcPr>
            <w:tcW w:w="5122" w:type="dxa"/>
          </w:tcPr>
          <w:p w14:paraId="5A112BEA" w14:textId="6058BE7C" w:rsidR="00E968D9" w:rsidRPr="00B45D5F" w:rsidRDefault="00E968D9" w:rsidP="00E968D9">
            <w:pPr>
              <w:rPr>
                <w:b/>
              </w:rPr>
            </w:pPr>
            <w:r w:rsidRPr="00B45D5F">
              <w:rPr>
                <w:b/>
              </w:rPr>
              <w:t>Question</w:t>
            </w:r>
          </w:p>
        </w:tc>
        <w:tc>
          <w:tcPr>
            <w:tcW w:w="5130" w:type="dxa"/>
          </w:tcPr>
          <w:p w14:paraId="5FCE8B7E" w14:textId="0D56A954" w:rsidR="00E968D9" w:rsidRPr="00B45D5F" w:rsidRDefault="00E968D9" w:rsidP="00E968D9">
            <w:pPr>
              <w:rPr>
                <w:b/>
              </w:rPr>
            </w:pPr>
            <w:r w:rsidRPr="00B45D5F">
              <w:rPr>
                <w:b/>
              </w:rPr>
              <w:t>Answer</w:t>
            </w:r>
          </w:p>
        </w:tc>
      </w:tr>
      <w:tr w:rsidR="00E968D9" w14:paraId="4014AED7" w14:textId="77777777" w:rsidTr="00F4278B">
        <w:trPr>
          <w:trHeight w:val="583"/>
        </w:trPr>
        <w:tc>
          <w:tcPr>
            <w:tcW w:w="548" w:type="dxa"/>
          </w:tcPr>
          <w:p w14:paraId="1AB816DA" w14:textId="3F2A9665" w:rsidR="00E968D9" w:rsidRDefault="00E968D9" w:rsidP="00E968D9">
            <w:r>
              <w:t xml:space="preserve"> 1</w:t>
            </w:r>
          </w:p>
        </w:tc>
        <w:tc>
          <w:tcPr>
            <w:tcW w:w="5122" w:type="dxa"/>
          </w:tcPr>
          <w:p w14:paraId="2351594D" w14:textId="4384E2C4" w:rsidR="00E968D9" w:rsidRDefault="008977F7" w:rsidP="00E968D9">
            <w:r w:rsidRPr="008977F7">
              <w:t>To clarify the requested budget structure for Tasks 2.5 and 2.6, is PCE expecting these tasks to be budgeted at a fixed fee that can be applied across one or more municipalities, thereby resulting in a variable cost (variable based on the number of municipalities who participate), based on a fixed fee?</w:t>
            </w:r>
          </w:p>
        </w:tc>
        <w:tc>
          <w:tcPr>
            <w:tcW w:w="5130" w:type="dxa"/>
          </w:tcPr>
          <w:p w14:paraId="02DBA9FB" w14:textId="166F5390" w:rsidR="00E968D9" w:rsidRPr="00A80582" w:rsidRDefault="00A80582" w:rsidP="00E968D9">
            <w:pPr>
              <w:rPr>
                <w:highlight w:val="yellow"/>
              </w:rPr>
            </w:pPr>
            <w:r w:rsidRPr="00B10927">
              <w:t xml:space="preserve">Tasks 2.5 and 2.6 </w:t>
            </w:r>
            <w:r w:rsidR="00972EEB">
              <w:t>should be priced as variable costs. This may be either fixed fee per municipality or time and materials with estimated per municipality and total.</w:t>
            </w:r>
            <w:r w:rsidRPr="00B10927">
              <w:t xml:space="preserve"> </w:t>
            </w:r>
          </w:p>
        </w:tc>
      </w:tr>
      <w:tr w:rsidR="00E968D9" w14:paraId="0B3AEA66" w14:textId="77777777" w:rsidTr="003047E1">
        <w:trPr>
          <w:trHeight w:val="935"/>
        </w:trPr>
        <w:tc>
          <w:tcPr>
            <w:tcW w:w="548" w:type="dxa"/>
          </w:tcPr>
          <w:p w14:paraId="748451D6" w14:textId="45F85717" w:rsidR="00E968D9" w:rsidRDefault="00E968D9" w:rsidP="00E968D9">
            <w:pPr>
              <w:jc w:val="both"/>
            </w:pPr>
            <w:r>
              <w:t>2</w:t>
            </w:r>
          </w:p>
        </w:tc>
        <w:tc>
          <w:tcPr>
            <w:tcW w:w="5122" w:type="dxa"/>
          </w:tcPr>
          <w:p w14:paraId="13446685" w14:textId="56B1EEFC" w:rsidR="00E968D9" w:rsidRDefault="008977F7" w:rsidP="00E968D9">
            <w:r w:rsidRPr="008977F7">
              <w:t>Regarding provision 8. Inclusion of Non-Participating Agencies, does PCE have any indication of the number of other agencies or what specific agencies are interested in relying on this competitive process to secure the services of the chosen vendor?</w:t>
            </w:r>
          </w:p>
        </w:tc>
        <w:tc>
          <w:tcPr>
            <w:tcW w:w="5130" w:type="dxa"/>
          </w:tcPr>
          <w:p w14:paraId="421DC5D2" w14:textId="474573A6" w:rsidR="00E968D9" w:rsidRPr="00A80582" w:rsidRDefault="00972EEB" w:rsidP="00E968D9">
            <w:pPr>
              <w:rPr>
                <w:highlight w:val="yellow"/>
              </w:rPr>
            </w:pPr>
            <w:r w:rsidRPr="00111DEB">
              <w:t>Not at this time.</w:t>
            </w:r>
          </w:p>
        </w:tc>
      </w:tr>
      <w:tr w:rsidR="00E968D9" w14:paraId="0C615E2D" w14:textId="77777777" w:rsidTr="00F4278B">
        <w:trPr>
          <w:trHeight w:val="875"/>
        </w:trPr>
        <w:tc>
          <w:tcPr>
            <w:tcW w:w="548" w:type="dxa"/>
          </w:tcPr>
          <w:p w14:paraId="6E3F0E1D" w14:textId="39EC1074" w:rsidR="00E968D9" w:rsidRDefault="00E968D9" w:rsidP="00E968D9">
            <w:r>
              <w:t>3</w:t>
            </w:r>
          </w:p>
        </w:tc>
        <w:tc>
          <w:tcPr>
            <w:tcW w:w="5122" w:type="dxa"/>
          </w:tcPr>
          <w:p w14:paraId="6D471629" w14:textId="77777777" w:rsidR="008977F7" w:rsidRPr="008977F7" w:rsidRDefault="008977F7" w:rsidP="008977F7">
            <w:r w:rsidRPr="008977F7">
              <w:t>How many vendors does PCE intend to select from this process?</w:t>
            </w:r>
          </w:p>
          <w:p w14:paraId="040D5E2F" w14:textId="51F63474" w:rsidR="00E968D9" w:rsidRDefault="00E968D9" w:rsidP="00E968D9"/>
        </w:tc>
        <w:tc>
          <w:tcPr>
            <w:tcW w:w="5130" w:type="dxa"/>
          </w:tcPr>
          <w:p w14:paraId="0FE2D711" w14:textId="2730E7D2" w:rsidR="00E968D9" w:rsidRDefault="00A80582" w:rsidP="00E968D9">
            <w:r>
              <w:t>One vendor will be selected from this proces</w:t>
            </w:r>
            <w:bookmarkStart w:id="0" w:name="_GoBack"/>
            <w:bookmarkEnd w:id="0"/>
            <w:r>
              <w:t xml:space="preserve">s.  </w:t>
            </w:r>
          </w:p>
        </w:tc>
      </w:tr>
      <w:tr w:rsidR="008977F7" w14:paraId="0CE26210" w14:textId="77777777" w:rsidTr="00F4278B">
        <w:trPr>
          <w:trHeight w:val="875"/>
        </w:trPr>
        <w:tc>
          <w:tcPr>
            <w:tcW w:w="548" w:type="dxa"/>
          </w:tcPr>
          <w:p w14:paraId="2ABA4E8C" w14:textId="63D8C6FE" w:rsidR="008977F7" w:rsidRDefault="008977F7" w:rsidP="00E968D9">
            <w:r>
              <w:t>4</w:t>
            </w:r>
          </w:p>
        </w:tc>
        <w:tc>
          <w:tcPr>
            <w:tcW w:w="5122" w:type="dxa"/>
          </w:tcPr>
          <w:p w14:paraId="7F6F2EE2" w14:textId="77777777" w:rsidR="008977F7" w:rsidRPr="008977F7" w:rsidRDefault="008977F7" w:rsidP="008977F7">
            <w:r w:rsidRPr="008977F7">
              <w:t>Task 2.5 refers to participation of municipalities. To clarify, does PCE anticipate that all municipalities will participate in the development of the reach codes, but only a subset will adopt? The last sentence in the task description is somewhat unclear.</w:t>
            </w:r>
          </w:p>
          <w:p w14:paraId="48641246" w14:textId="77777777" w:rsidR="008977F7" w:rsidRPr="008977F7" w:rsidRDefault="008977F7" w:rsidP="008977F7"/>
        </w:tc>
        <w:tc>
          <w:tcPr>
            <w:tcW w:w="5130" w:type="dxa"/>
          </w:tcPr>
          <w:p w14:paraId="746C0BF4" w14:textId="3E898A89" w:rsidR="00A80582" w:rsidRPr="00111DEB" w:rsidRDefault="00C07CF7" w:rsidP="00E968D9">
            <w:r w:rsidRPr="00111DEB">
              <w:t>Participation for all aspects of the program is elective for municipalities. As a result, only a subset of municipalities in the service territory may participate in any given activities. However, the consultant must be prepared for the possibility that all municipalities will do so.</w:t>
            </w:r>
          </w:p>
          <w:p w14:paraId="421DD0DC" w14:textId="02FF35E7" w:rsidR="008977F7" w:rsidRPr="00111DEB" w:rsidRDefault="008977F7" w:rsidP="00E968D9"/>
        </w:tc>
      </w:tr>
      <w:tr w:rsidR="008977F7" w14:paraId="6DB7D927" w14:textId="77777777" w:rsidTr="00F4278B">
        <w:trPr>
          <w:trHeight w:val="875"/>
        </w:trPr>
        <w:tc>
          <w:tcPr>
            <w:tcW w:w="548" w:type="dxa"/>
          </w:tcPr>
          <w:p w14:paraId="1C85581A" w14:textId="41129E63" w:rsidR="008977F7" w:rsidRDefault="008977F7" w:rsidP="00E968D9">
            <w:r>
              <w:t>5</w:t>
            </w:r>
          </w:p>
        </w:tc>
        <w:tc>
          <w:tcPr>
            <w:tcW w:w="5122" w:type="dxa"/>
          </w:tcPr>
          <w:p w14:paraId="0ECE6AB7" w14:textId="77777777" w:rsidR="008977F7" w:rsidRPr="008977F7" w:rsidRDefault="008977F7" w:rsidP="008977F7">
            <w:r w:rsidRPr="008977F7">
              <w:t>For Task 2.2, please provide more detail on the process for facilitating the selection and identification of model reach codes to be developed. We understand that the facilitated process may be handled separately – however, the consultant team should include a minimum of one charrette per reach code. Will PCE and SVCE also facilitate other outreach activities including survey(s), one-on-one meetings, working group meetings, etc, for which consultant support may be needed? </w:t>
            </w:r>
          </w:p>
          <w:p w14:paraId="4291903F" w14:textId="77777777" w:rsidR="008977F7" w:rsidRPr="008977F7" w:rsidRDefault="008977F7" w:rsidP="008977F7"/>
        </w:tc>
        <w:tc>
          <w:tcPr>
            <w:tcW w:w="5130" w:type="dxa"/>
          </w:tcPr>
          <w:p w14:paraId="6557A091" w14:textId="7161C352" w:rsidR="00A80582" w:rsidRPr="00111DEB" w:rsidRDefault="00C07CF7" w:rsidP="00E968D9">
            <w:r w:rsidRPr="00111DEB">
              <w:t>The Consultant should recommend the process for the model code development and the final process will be mutually determined by lead agencies PCE and SVCE. Definition of the process may include consultation with OOS and other agencies. Coordination of the process will be supported by OOS and SVCE. Consultant support may be requested on a limited basis.</w:t>
            </w:r>
          </w:p>
        </w:tc>
      </w:tr>
      <w:tr w:rsidR="008977F7" w14:paraId="0A07F6AA" w14:textId="77777777" w:rsidTr="00F4278B">
        <w:trPr>
          <w:trHeight w:val="875"/>
        </w:trPr>
        <w:tc>
          <w:tcPr>
            <w:tcW w:w="548" w:type="dxa"/>
          </w:tcPr>
          <w:p w14:paraId="0B3B3F9F" w14:textId="6E8E8C6E" w:rsidR="008977F7" w:rsidRDefault="008977F7" w:rsidP="00E968D9">
            <w:r>
              <w:t>6</w:t>
            </w:r>
          </w:p>
        </w:tc>
        <w:tc>
          <w:tcPr>
            <w:tcW w:w="5122" w:type="dxa"/>
          </w:tcPr>
          <w:p w14:paraId="7B045AA6" w14:textId="591CF075" w:rsidR="008977F7" w:rsidRPr="008977F7" w:rsidRDefault="008977F7" w:rsidP="008977F7">
            <w:r w:rsidRPr="008977F7">
              <w:t xml:space="preserve">For Task 2.3, what stakeholder engagement is expected of the consultant team to vet local needs and recommendations for adoption and implementation tools?  Will consultant lead or support meetings, workshops or surveys to assess and prioritize adoption and implementation tools of most value </w:t>
            </w:r>
            <w:r w:rsidR="00A42FD5">
              <w:t>to participating municipalities</w:t>
            </w:r>
          </w:p>
        </w:tc>
        <w:tc>
          <w:tcPr>
            <w:tcW w:w="5130" w:type="dxa"/>
          </w:tcPr>
          <w:p w14:paraId="711692BB" w14:textId="0BCEA37B" w:rsidR="008977F7" w:rsidRPr="00111DEB" w:rsidRDefault="00C07CF7" w:rsidP="00E968D9">
            <w:r w:rsidRPr="00111DEB">
              <w:t xml:space="preserve">The consultant should propose the stakeholder engagement strategy which may be refined by PCE and SVCE. Coordination of those activities will be supported by OOS and SVCE. The consultant should participate in all aspects of the engagement process. It will likely be most efficient for </w:t>
            </w:r>
            <w:r w:rsidR="005E62C0" w:rsidRPr="00111DEB">
              <w:t xml:space="preserve">Task </w:t>
            </w:r>
            <w:r w:rsidRPr="00111DEB">
              <w:t xml:space="preserve">2.3 activities to be executed in </w:t>
            </w:r>
            <w:r w:rsidRPr="00111DEB">
              <w:lastRenderedPageBreak/>
              <w:t xml:space="preserve">conjunction with </w:t>
            </w:r>
            <w:r w:rsidR="005E62C0" w:rsidRPr="00111DEB">
              <w:t>Task 2.2 to minimize duplication of effort.</w:t>
            </w:r>
          </w:p>
        </w:tc>
      </w:tr>
      <w:tr w:rsidR="008977F7" w14:paraId="71B198C4" w14:textId="77777777" w:rsidTr="00F4278B">
        <w:trPr>
          <w:trHeight w:val="875"/>
        </w:trPr>
        <w:tc>
          <w:tcPr>
            <w:tcW w:w="548" w:type="dxa"/>
          </w:tcPr>
          <w:p w14:paraId="5962BFA2" w14:textId="453E85F2" w:rsidR="008977F7" w:rsidRDefault="008977F7" w:rsidP="00E968D9">
            <w:r>
              <w:lastRenderedPageBreak/>
              <w:t>7</w:t>
            </w:r>
          </w:p>
        </w:tc>
        <w:tc>
          <w:tcPr>
            <w:tcW w:w="5122" w:type="dxa"/>
          </w:tcPr>
          <w:p w14:paraId="3C5EA136" w14:textId="1E067923" w:rsidR="008977F7" w:rsidRPr="008977F7" w:rsidRDefault="008977F7" w:rsidP="008977F7">
            <w:r w:rsidRPr="008977F7">
              <w:t>In the budgeting section, you state “The budget should include fixed costs for tasks 2.1 through 2.4. Tasks 2.5 and 2.6</w:t>
            </w:r>
            <w:r w:rsidR="005E62C0">
              <w:t xml:space="preserve"> </w:t>
            </w:r>
            <w:r w:rsidRPr="008977F7">
              <w:t>should be provided as a variable cost (e.g. on a costs per-municipality basis).” Does ‘fixed cost’ mean a fixed price, or a T&amp;M budget for that task, to be completed once (as opposed to variable costs dependent on the number of municipalities).</w:t>
            </w:r>
          </w:p>
        </w:tc>
        <w:tc>
          <w:tcPr>
            <w:tcW w:w="5130" w:type="dxa"/>
          </w:tcPr>
          <w:p w14:paraId="26E03D9B" w14:textId="403945AB" w:rsidR="00A42FD5" w:rsidRPr="00111DEB" w:rsidRDefault="00A42FD5" w:rsidP="00A42FD5">
            <w:r w:rsidRPr="00111DEB">
              <w:t xml:space="preserve">Fixed cost means a </w:t>
            </w:r>
            <w:r w:rsidR="00B10927" w:rsidRPr="00111DEB">
              <w:t xml:space="preserve">fixed fee. </w:t>
            </w:r>
          </w:p>
          <w:p w14:paraId="155B7C05" w14:textId="045CF14D" w:rsidR="00A80582" w:rsidRPr="00111DEB" w:rsidRDefault="00A80582" w:rsidP="00E968D9"/>
        </w:tc>
      </w:tr>
      <w:tr w:rsidR="008977F7" w14:paraId="185D985B" w14:textId="77777777" w:rsidTr="00F4278B">
        <w:trPr>
          <w:trHeight w:val="875"/>
        </w:trPr>
        <w:tc>
          <w:tcPr>
            <w:tcW w:w="548" w:type="dxa"/>
          </w:tcPr>
          <w:p w14:paraId="059F7AB7" w14:textId="59AA86AA" w:rsidR="008977F7" w:rsidRDefault="008977F7" w:rsidP="00E968D9">
            <w:r>
              <w:t>8</w:t>
            </w:r>
          </w:p>
        </w:tc>
        <w:tc>
          <w:tcPr>
            <w:tcW w:w="5122" w:type="dxa"/>
          </w:tcPr>
          <w:p w14:paraId="52336A77" w14:textId="250B6B24" w:rsidR="008977F7" w:rsidRPr="008977F7" w:rsidRDefault="008977F7" w:rsidP="008977F7">
            <w:r w:rsidRPr="008977F7">
              <w:t>The proposal states that all work must be completed in 2019 to support an effective date of Jan 1, 2020. Is it therefore correct that none of the implementation support in Task 2.6 is expected to be completed following the effective date?</w:t>
            </w:r>
          </w:p>
        </w:tc>
        <w:tc>
          <w:tcPr>
            <w:tcW w:w="5130" w:type="dxa"/>
          </w:tcPr>
          <w:p w14:paraId="19882E1C" w14:textId="75F15B83" w:rsidR="00A80582" w:rsidRPr="00111DEB" w:rsidRDefault="005E62C0" w:rsidP="00E968D9">
            <w:r w:rsidRPr="00111DEB">
              <w:t>Implementation support may extend beyond Jan 1, 2020.</w:t>
            </w:r>
          </w:p>
        </w:tc>
      </w:tr>
    </w:tbl>
    <w:p w14:paraId="188BFA9D" w14:textId="77777777" w:rsidR="00F4278B" w:rsidRDefault="00F4278B" w:rsidP="00F4278B"/>
    <w:p w14:paraId="455D1BBC" w14:textId="77777777" w:rsidR="0099365A" w:rsidRDefault="0099365A"/>
    <w:sectPr w:rsidR="0099365A" w:rsidSect="001140EA">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B946" w14:textId="77777777" w:rsidR="00F30B41" w:rsidRDefault="00F30B41" w:rsidP="00984A41">
      <w:pPr>
        <w:spacing w:after="0" w:line="240" w:lineRule="auto"/>
      </w:pPr>
      <w:r>
        <w:separator/>
      </w:r>
    </w:p>
  </w:endnote>
  <w:endnote w:type="continuationSeparator" w:id="0">
    <w:p w14:paraId="47B0A57F" w14:textId="77777777" w:rsidR="00F30B41" w:rsidRDefault="00F30B41" w:rsidP="0098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buntu">
    <w:panose1 w:val="020B0504030602030204"/>
    <w:charset w:val="00"/>
    <w:family w:val="swiss"/>
    <w:pitch w:val="variable"/>
    <w:sig w:usb0="E00002FF" w:usb1="5000205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742772"/>
      <w:docPartObj>
        <w:docPartGallery w:val="Page Numbers (Bottom of Page)"/>
        <w:docPartUnique/>
      </w:docPartObj>
    </w:sdtPr>
    <w:sdtEndPr>
      <w:rPr>
        <w:noProof/>
      </w:rPr>
    </w:sdtEndPr>
    <w:sdtContent>
      <w:p w14:paraId="71B39217" w14:textId="1B7D4DA2" w:rsidR="00DF1F94" w:rsidRDefault="00DF1F94">
        <w:pPr>
          <w:pStyle w:val="Footer"/>
          <w:jc w:val="center"/>
        </w:pPr>
        <w:r>
          <w:fldChar w:fldCharType="begin"/>
        </w:r>
        <w:r>
          <w:instrText xml:space="preserve"> PAGE   \* MERGEFORMAT </w:instrText>
        </w:r>
        <w:r>
          <w:fldChar w:fldCharType="separate"/>
        </w:r>
        <w:r w:rsidR="0059642D">
          <w:rPr>
            <w:noProof/>
          </w:rPr>
          <w:t>2</w:t>
        </w:r>
        <w:r>
          <w:rPr>
            <w:noProof/>
          </w:rPr>
          <w:fldChar w:fldCharType="end"/>
        </w:r>
      </w:p>
    </w:sdtContent>
  </w:sdt>
  <w:p w14:paraId="40269173" w14:textId="77777777" w:rsidR="00DF1F94" w:rsidRDefault="00DF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6525" w14:textId="77777777" w:rsidR="00F30B41" w:rsidRDefault="00F30B41" w:rsidP="00984A41">
      <w:pPr>
        <w:spacing w:after="0" w:line="240" w:lineRule="auto"/>
      </w:pPr>
      <w:r>
        <w:separator/>
      </w:r>
    </w:p>
  </w:footnote>
  <w:footnote w:type="continuationSeparator" w:id="0">
    <w:p w14:paraId="135BE1A7" w14:textId="77777777" w:rsidR="00F30B41" w:rsidRDefault="00F30B41" w:rsidP="00984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B9D2" w14:textId="59F5CE27" w:rsidR="00DF1F94" w:rsidRDefault="00DF1F94" w:rsidP="00984A41">
    <w:pPr>
      <w:pStyle w:val="Header"/>
      <w:jc w:val="both"/>
    </w:pPr>
    <w:r w:rsidRPr="004E0B64">
      <w:rPr>
        <w:rFonts w:ascii="Ubuntu" w:hAnsi="Ubuntu"/>
        <w:b/>
        <w:noProof/>
      </w:rPr>
      <mc:AlternateContent>
        <mc:Choice Requires="wps">
          <w:drawing>
            <wp:anchor distT="0" distB="0" distL="114300" distR="114300" simplePos="0" relativeHeight="251659264" behindDoc="0" locked="0" layoutInCell="1" allowOverlap="1" wp14:anchorId="594F1892" wp14:editId="4A6E7C78">
              <wp:simplePos x="0" y="0"/>
              <wp:positionH relativeFrom="column">
                <wp:posOffset>22860</wp:posOffset>
              </wp:positionH>
              <wp:positionV relativeFrom="paragraph">
                <wp:posOffset>190500</wp:posOffset>
              </wp:positionV>
              <wp:extent cx="6222365" cy="7620"/>
              <wp:effectExtent l="0" t="0" r="26035" b="30480"/>
              <wp:wrapNone/>
              <wp:docPr id="1" name="Straight Connector 1"/>
              <wp:cNvGraphicFramePr/>
              <a:graphic xmlns:a="http://schemas.openxmlformats.org/drawingml/2006/main">
                <a:graphicData uri="http://schemas.microsoft.com/office/word/2010/wordprocessingShape">
                  <wps:wsp>
                    <wps:cNvCnPr/>
                    <wps:spPr>
                      <a:xfrm>
                        <a:off x="0" y="0"/>
                        <a:ext cx="6222365" cy="762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E5576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pt" to="49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" strokecolor="#00a9e0" strokeweight="1pt">
              <v:stroke joinstyle="miter"/>
            </v:line>
          </w:pict>
        </mc:Fallback>
      </mc:AlternateContent>
    </w:r>
    <w:r w:rsidR="00121AB0">
      <w:rPr>
        <w:b/>
      </w:rPr>
      <w:t>PCE 2018 Request for Proposals</w:t>
    </w:r>
    <w:r w:rsidR="00121AB0">
      <w:rPr>
        <w:b/>
      </w:rPr>
      <w:tab/>
    </w:r>
    <w:r w:rsidR="00121AB0">
      <w:rPr>
        <w:b/>
      </w:rPr>
      <w:tab/>
    </w:r>
    <w:r>
      <w:rPr>
        <w:b/>
      </w:rPr>
      <w:t>Q&amp;A Responses</w:t>
    </w:r>
  </w:p>
  <w:p w14:paraId="1C346A0F" w14:textId="77777777" w:rsidR="00DF1F94" w:rsidRDefault="00DF1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63D9"/>
    <w:multiLevelType w:val="multilevel"/>
    <w:tmpl w:val="8F90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A84942"/>
    <w:multiLevelType w:val="multilevel"/>
    <w:tmpl w:val="4B66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41"/>
    <w:rsid w:val="0002319D"/>
    <w:rsid w:val="00053D4A"/>
    <w:rsid w:val="000A6197"/>
    <w:rsid w:val="000E1582"/>
    <w:rsid w:val="000E71B8"/>
    <w:rsid w:val="00111DEB"/>
    <w:rsid w:val="001140EA"/>
    <w:rsid w:val="00121AB0"/>
    <w:rsid w:val="00167E16"/>
    <w:rsid w:val="00194D9E"/>
    <w:rsid w:val="001A08DF"/>
    <w:rsid w:val="001A116B"/>
    <w:rsid w:val="001B13F4"/>
    <w:rsid w:val="001B42D8"/>
    <w:rsid w:val="001C066D"/>
    <w:rsid w:val="001D16D0"/>
    <w:rsid w:val="00235503"/>
    <w:rsid w:val="0024012D"/>
    <w:rsid w:val="00242FB9"/>
    <w:rsid w:val="002B1890"/>
    <w:rsid w:val="003047E1"/>
    <w:rsid w:val="00326FE8"/>
    <w:rsid w:val="00353FC2"/>
    <w:rsid w:val="00375DDF"/>
    <w:rsid w:val="00381C81"/>
    <w:rsid w:val="003950FB"/>
    <w:rsid w:val="004142AB"/>
    <w:rsid w:val="00430FC9"/>
    <w:rsid w:val="00451495"/>
    <w:rsid w:val="0045665A"/>
    <w:rsid w:val="004860BC"/>
    <w:rsid w:val="00511394"/>
    <w:rsid w:val="00572207"/>
    <w:rsid w:val="00573A71"/>
    <w:rsid w:val="0059642D"/>
    <w:rsid w:val="005A0964"/>
    <w:rsid w:val="005A5484"/>
    <w:rsid w:val="005B2F74"/>
    <w:rsid w:val="005E62C0"/>
    <w:rsid w:val="00600B8C"/>
    <w:rsid w:val="006352F3"/>
    <w:rsid w:val="0067258F"/>
    <w:rsid w:val="006A1D45"/>
    <w:rsid w:val="006C7654"/>
    <w:rsid w:val="006F34F3"/>
    <w:rsid w:val="007034C8"/>
    <w:rsid w:val="007320C3"/>
    <w:rsid w:val="007D66A9"/>
    <w:rsid w:val="007F1977"/>
    <w:rsid w:val="00816862"/>
    <w:rsid w:val="00852E72"/>
    <w:rsid w:val="00866602"/>
    <w:rsid w:val="00871763"/>
    <w:rsid w:val="00882C69"/>
    <w:rsid w:val="008929F6"/>
    <w:rsid w:val="008977F7"/>
    <w:rsid w:val="008A00E9"/>
    <w:rsid w:val="008B4C0B"/>
    <w:rsid w:val="008D58E6"/>
    <w:rsid w:val="008D66AE"/>
    <w:rsid w:val="00921501"/>
    <w:rsid w:val="009418FF"/>
    <w:rsid w:val="00972EEB"/>
    <w:rsid w:val="00975CBF"/>
    <w:rsid w:val="00983DF9"/>
    <w:rsid w:val="00984A41"/>
    <w:rsid w:val="0099365A"/>
    <w:rsid w:val="009B0DA1"/>
    <w:rsid w:val="009D0ED6"/>
    <w:rsid w:val="009E42DD"/>
    <w:rsid w:val="00A13420"/>
    <w:rsid w:val="00A141D0"/>
    <w:rsid w:val="00A33D15"/>
    <w:rsid w:val="00A42FD5"/>
    <w:rsid w:val="00A46CBA"/>
    <w:rsid w:val="00A52A3F"/>
    <w:rsid w:val="00A66418"/>
    <w:rsid w:val="00A80582"/>
    <w:rsid w:val="00A82B77"/>
    <w:rsid w:val="00AD37E1"/>
    <w:rsid w:val="00AE7916"/>
    <w:rsid w:val="00B018E4"/>
    <w:rsid w:val="00B10927"/>
    <w:rsid w:val="00B2523F"/>
    <w:rsid w:val="00B83D55"/>
    <w:rsid w:val="00B84E94"/>
    <w:rsid w:val="00B9332A"/>
    <w:rsid w:val="00B9550E"/>
    <w:rsid w:val="00BA628E"/>
    <w:rsid w:val="00C05066"/>
    <w:rsid w:val="00C05660"/>
    <w:rsid w:val="00C07CF7"/>
    <w:rsid w:val="00C41C42"/>
    <w:rsid w:val="00C430A3"/>
    <w:rsid w:val="00C615F8"/>
    <w:rsid w:val="00CA42C6"/>
    <w:rsid w:val="00CB0083"/>
    <w:rsid w:val="00D43A23"/>
    <w:rsid w:val="00D51831"/>
    <w:rsid w:val="00D953D7"/>
    <w:rsid w:val="00DB0BF5"/>
    <w:rsid w:val="00DF1F94"/>
    <w:rsid w:val="00E04135"/>
    <w:rsid w:val="00E217A2"/>
    <w:rsid w:val="00E31CC7"/>
    <w:rsid w:val="00E75542"/>
    <w:rsid w:val="00E968D9"/>
    <w:rsid w:val="00EA15BA"/>
    <w:rsid w:val="00EC393A"/>
    <w:rsid w:val="00EC3DCF"/>
    <w:rsid w:val="00EE3825"/>
    <w:rsid w:val="00F30B41"/>
    <w:rsid w:val="00F4278B"/>
    <w:rsid w:val="00F55DF6"/>
    <w:rsid w:val="00F62FF2"/>
    <w:rsid w:val="00F90FE7"/>
    <w:rsid w:val="00FD72D1"/>
    <w:rsid w:val="00FE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E8B"/>
  <w15:chartTrackingRefBased/>
  <w15:docId w15:val="{EACC871B-DCE8-4EB2-8125-ECBA5A3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D9E"/>
    <w:pPr>
      <w:keepNext/>
      <w:keepLines/>
      <w:spacing w:before="240" w:after="0"/>
      <w:outlineLvl w:val="0"/>
    </w:pPr>
    <w:rPr>
      <w:rFonts w:ascii="Ubuntu" w:eastAsiaTheme="majorEastAsia" w:hAnsi="Ubuntu" w:cstheme="majorBidi"/>
      <w:color w:val="2F5496" w:themeColor="accent1" w:themeShade="BF"/>
      <w:sz w:val="32"/>
      <w:szCs w:val="32"/>
    </w:rPr>
  </w:style>
  <w:style w:type="paragraph" w:styleId="Heading2">
    <w:name w:val="heading 2"/>
    <w:basedOn w:val="Normal"/>
    <w:link w:val="Heading2Char"/>
    <w:autoRedefine/>
    <w:uiPriority w:val="1"/>
    <w:qFormat/>
    <w:rsid w:val="00852E72"/>
    <w:pPr>
      <w:shd w:val="clear" w:color="auto" w:fill="FFFFFF"/>
      <w:spacing w:after="0" w:line="240" w:lineRule="auto"/>
      <w:outlineLvl w:val="1"/>
    </w:pPr>
    <w:rPr>
      <w:rFonts w:cs="Times New Roman"/>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9E"/>
    <w:rPr>
      <w:rFonts w:ascii="Ubuntu" w:eastAsiaTheme="majorEastAsia" w:hAnsi="Ubuntu" w:cstheme="majorBidi"/>
      <w:color w:val="2F5496" w:themeColor="accent1" w:themeShade="BF"/>
      <w:sz w:val="32"/>
      <w:szCs w:val="32"/>
    </w:rPr>
  </w:style>
  <w:style w:type="character" w:customStyle="1" w:styleId="Heading2Char">
    <w:name w:val="Heading 2 Char"/>
    <w:basedOn w:val="DefaultParagraphFont"/>
    <w:link w:val="Heading2"/>
    <w:uiPriority w:val="1"/>
    <w:rsid w:val="00852E72"/>
    <w:rPr>
      <w:rFonts w:cs="Times New Roman"/>
      <w:b/>
      <w:i/>
      <w:iCs/>
      <w:sz w:val="28"/>
      <w:shd w:val="clear" w:color="auto" w:fill="FFFFFF"/>
    </w:rPr>
  </w:style>
  <w:style w:type="paragraph" w:styleId="Header">
    <w:name w:val="header"/>
    <w:basedOn w:val="Normal"/>
    <w:link w:val="HeaderChar"/>
    <w:uiPriority w:val="99"/>
    <w:unhideWhenUsed/>
    <w:rsid w:val="00984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41"/>
  </w:style>
  <w:style w:type="paragraph" w:styleId="Footer">
    <w:name w:val="footer"/>
    <w:basedOn w:val="Normal"/>
    <w:link w:val="FooterChar"/>
    <w:uiPriority w:val="99"/>
    <w:unhideWhenUsed/>
    <w:rsid w:val="0098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41"/>
  </w:style>
  <w:style w:type="character" w:styleId="Hyperlink">
    <w:name w:val="Hyperlink"/>
    <w:basedOn w:val="DefaultParagraphFont"/>
    <w:uiPriority w:val="99"/>
    <w:unhideWhenUsed/>
    <w:rsid w:val="00F62FF2"/>
    <w:rPr>
      <w:color w:val="0563C1" w:themeColor="hyperlink"/>
      <w:u w:val="single"/>
    </w:rPr>
  </w:style>
  <w:style w:type="character" w:customStyle="1" w:styleId="UnresolvedMention1">
    <w:name w:val="Unresolved Mention1"/>
    <w:basedOn w:val="DefaultParagraphFont"/>
    <w:uiPriority w:val="99"/>
    <w:semiHidden/>
    <w:unhideWhenUsed/>
    <w:rsid w:val="00F62FF2"/>
    <w:rPr>
      <w:color w:val="808080"/>
      <w:shd w:val="clear" w:color="auto" w:fill="E6E6E6"/>
    </w:rPr>
  </w:style>
  <w:style w:type="paragraph" w:styleId="BalloonText">
    <w:name w:val="Balloon Text"/>
    <w:basedOn w:val="Normal"/>
    <w:link w:val="BalloonTextChar"/>
    <w:uiPriority w:val="99"/>
    <w:semiHidden/>
    <w:unhideWhenUsed/>
    <w:rsid w:val="00DF1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94"/>
    <w:rPr>
      <w:rFonts w:ascii="Segoe UI" w:hAnsi="Segoe UI" w:cs="Segoe UI"/>
      <w:sz w:val="18"/>
      <w:szCs w:val="18"/>
    </w:rPr>
  </w:style>
  <w:style w:type="table" w:styleId="TableGrid">
    <w:name w:val="Table Grid"/>
    <w:basedOn w:val="TableNormal"/>
    <w:uiPriority w:val="39"/>
    <w:rsid w:val="00F4278B"/>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818">
      <w:bodyDiv w:val="1"/>
      <w:marLeft w:val="0"/>
      <w:marRight w:val="0"/>
      <w:marTop w:val="0"/>
      <w:marBottom w:val="0"/>
      <w:divBdr>
        <w:top w:val="none" w:sz="0" w:space="0" w:color="auto"/>
        <w:left w:val="none" w:sz="0" w:space="0" w:color="auto"/>
        <w:bottom w:val="none" w:sz="0" w:space="0" w:color="auto"/>
        <w:right w:val="none" w:sz="0" w:space="0" w:color="auto"/>
      </w:divBdr>
    </w:div>
    <w:div w:id="113401772">
      <w:bodyDiv w:val="1"/>
      <w:marLeft w:val="0"/>
      <w:marRight w:val="0"/>
      <w:marTop w:val="0"/>
      <w:marBottom w:val="0"/>
      <w:divBdr>
        <w:top w:val="none" w:sz="0" w:space="0" w:color="auto"/>
        <w:left w:val="none" w:sz="0" w:space="0" w:color="auto"/>
        <w:bottom w:val="none" w:sz="0" w:space="0" w:color="auto"/>
        <w:right w:val="none" w:sz="0" w:space="0" w:color="auto"/>
      </w:divBdr>
    </w:div>
    <w:div w:id="190458787">
      <w:bodyDiv w:val="1"/>
      <w:marLeft w:val="0"/>
      <w:marRight w:val="0"/>
      <w:marTop w:val="0"/>
      <w:marBottom w:val="0"/>
      <w:divBdr>
        <w:top w:val="none" w:sz="0" w:space="0" w:color="auto"/>
        <w:left w:val="none" w:sz="0" w:space="0" w:color="auto"/>
        <w:bottom w:val="none" w:sz="0" w:space="0" w:color="auto"/>
        <w:right w:val="none" w:sz="0" w:space="0" w:color="auto"/>
      </w:divBdr>
    </w:div>
    <w:div w:id="213320897">
      <w:bodyDiv w:val="1"/>
      <w:marLeft w:val="0"/>
      <w:marRight w:val="0"/>
      <w:marTop w:val="0"/>
      <w:marBottom w:val="0"/>
      <w:divBdr>
        <w:top w:val="none" w:sz="0" w:space="0" w:color="auto"/>
        <w:left w:val="none" w:sz="0" w:space="0" w:color="auto"/>
        <w:bottom w:val="none" w:sz="0" w:space="0" w:color="auto"/>
        <w:right w:val="none" w:sz="0" w:space="0" w:color="auto"/>
      </w:divBdr>
    </w:div>
    <w:div w:id="252514262">
      <w:bodyDiv w:val="1"/>
      <w:marLeft w:val="0"/>
      <w:marRight w:val="0"/>
      <w:marTop w:val="0"/>
      <w:marBottom w:val="0"/>
      <w:divBdr>
        <w:top w:val="none" w:sz="0" w:space="0" w:color="auto"/>
        <w:left w:val="none" w:sz="0" w:space="0" w:color="auto"/>
        <w:bottom w:val="none" w:sz="0" w:space="0" w:color="auto"/>
        <w:right w:val="none" w:sz="0" w:space="0" w:color="auto"/>
      </w:divBdr>
    </w:div>
    <w:div w:id="273287382">
      <w:bodyDiv w:val="1"/>
      <w:marLeft w:val="0"/>
      <w:marRight w:val="0"/>
      <w:marTop w:val="0"/>
      <w:marBottom w:val="0"/>
      <w:divBdr>
        <w:top w:val="none" w:sz="0" w:space="0" w:color="auto"/>
        <w:left w:val="none" w:sz="0" w:space="0" w:color="auto"/>
        <w:bottom w:val="none" w:sz="0" w:space="0" w:color="auto"/>
        <w:right w:val="none" w:sz="0" w:space="0" w:color="auto"/>
      </w:divBdr>
      <w:divsChild>
        <w:div w:id="128132872">
          <w:marLeft w:val="0"/>
          <w:marRight w:val="0"/>
          <w:marTop w:val="0"/>
          <w:marBottom w:val="0"/>
          <w:divBdr>
            <w:top w:val="none" w:sz="0" w:space="0" w:color="auto"/>
            <w:left w:val="none" w:sz="0" w:space="0" w:color="auto"/>
            <w:bottom w:val="none" w:sz="0" w:space="0" w:color="auto"/>
            <w:right w:val="none" w:sz="0" w:space="0" w:color="auto"/>
          </w:divBdr>
        </w:div>
        <w:div w:id="1775317974">
          <w:marLeft w:val="0"/>
          <w:marRight w:val="0"/>
          <w:marTop w:val="0"/>
          <w:marBottom w:val="0"/>
          <w:divBdr>
            <w:top w:val="none" w:sz="0" w:space="0" w:color="auto"/>
            <w:left w:val="none" w:sz="0" w:space="0" w:color="auto"/>
            <w:bottom w:val="none" w:sz="0" w:space="0" w:color="auto"/>
            <w:right w:val="none" w:sz="0" w:space="0" w:color="auto"/>
          </w:divBdr>
        </w:div>
        <w:div w:id="1060250725">
          <w:marLeft w:val="0"/>
          <w:marRight w:val="0"/>
          <w:marTop w:val="0"/>
          <w:marBottom w:val="0"/>
          <w:divBdr>
            <w:top w:val="none" w:sz="0" w:space="0" w:color="auto"/>
            <w:left w:val="none" w:sz="0" w:space="0" w:color="auto"/>
            <w:bottom w:val="none" w:sz="0" w:space="0" w:color="auto"/>
            <w:right w:val="none" w:sz="0" w:space="0" w:color="auto"/>
          </w:divBdr>
        </w:div>
        <w:div w:id="1129937448">
          <w:marLeft w:val="0"/>
          <w:marRight w:val="0"/>
          <w:marTop w:val="0"/>
          <w:marBottom w:val="0"/>
          <w:divBdr>
            <w:top w:val="none" w:sz="0" w:space="0" w:color="auto"/>
            <w:left w:val="none" w:sz="0" w:space="0" w:color="auto"/>
            <w:bottom w:val="none" w:sz="0" w:space="0" w:color="auto"/>
            <w:right w:val="none" w:sz="0" w:space="0" w:color="auto"/>
          </w:divBdr>
        </w:div>
        <w:div w:id="2072730971">
          <w:marLeft w:val="0"/>
          <w:marRight w:val="0"/>
          <w:marTop w:val="0"/>
          <w:marBottom w:val="0"/>
          <w:divBdr>
            <w:top w:val="none" w:sz="0" w:space="0" w:color="auto"/>
            <w:left w:val="none" w:sz="0" w:space="0" w:color="auto"/>
            <w:bottom w:val="none" w:sz="0" w:space="0" w:color="auto"/>
            <w:right w:val="none" w:sz="0" w:space="0" w:color="auto"/>
          </w:divBdr>
        </w:div>
        <w:div w:id="35934088">
          <w:marLeft w:val="0"/>
          <w:marRight w:val="0"/>
          <w:marTop w:val="0"/>
          <w:marBottom w:val="0"/>
          <w:divBdr>
            <w:top w:val="none" w:sz="0" w:space="0" w:color="auto"/>
            <w:left w:val="none" w:sz="0" w:space="0" w:color="auto"/>
            <w:bottom w:val="none" w:sz="0" w:space="0" w:color="auto"/>
            <w:right w:val="none" w:sz="0" w:space="0" w:color="auto"/>
          </w:divBdr>
        </w:div>
        <w:div w:id="1192570878">
          <w:marLeft w:val="0"/>
          <w:marRight w:val="0"/>
          <w:marTop w:val="0"/>
          <w:marBottom w:val="0"/>
          <w:divBdr>
            <w:top w:val="none" w:sz="0" w:space="0" w:color="auto"/>
            <w:left w:val="none" w:sz="0" w:space="0" w:color="auto"/>
            <w:bottom w:val="none" w:sz="0" w:space="0" w:color="auto"/>
            <w:right w:val="none" w:sz="0" w:space="0" w:color="auto"/>
          </w:divBdr>
        </w:div>
        <w:div w:id="723411989">
          <w:marLeft w:val="0"/>
          <w:marRight w:val="0"/>
          <w:marTop w:val="0"/>
          <w:marBottom w:val="0"/>
          <w:divBdr>
            <w:top w:val="none" w:sz="0" w:space="0" w:color="auto"/>
            <w:left w:val="none" w:sz="0" w:space="0" w:color="auto"/>
            <w:bottom w:val="none" w:sz="0" w:space="0" w:color="auto"/>
            <w:right w:val="none" w:sz="0" w:space="0" w:color="auto"/>
          </w:divBdr>
        </w:div>
        <w:div w:id="679159330">
          <w:marLeft w:val="0"/>
          <w:marRight w:val="0"/>
          <w:marTop w:val="0"/>
          <w:marBottom w:val="0"/>
          <w:divBdr>
            <w:top w:val="none" w:sz="0" w:space="0" w:color="auto"/>
            <w:left w:val="none" w:sz="0" w:space="0" w:color="auto"/>
            <w:bottom w:val="none" w:sz="0" w:space="0" w:color="auto"/>
            <w:right w:val="none" w:sz="0" w:space="0" w:color="auto"/>
          </w:divBdr>
        </w:div>
        <w:div w:id="1849098751">
          <w:marLeft w:val="0"/>
          <w:marRight w:val="0"/>
          <w:marTop w:val="0"/>
          <w:marBottom w:val="0"/>
          <w:divBdr>
            <w:top w:val="none" w:sz="0" w:space="0" w:color="auto"/>
            <w:left w:val="none" w:sz="0" w:space="0" w:color="auto"/>
            <w:bottom w:val="none" w:sz="0" w:space="0" w:color="auto"/>
            <w:right w:val="none" w:sz="0" w:space="0" w:color="auto"/>
          </w:divBdr>
        </w:div>
        <w:div w:id="430054869">
          <w:marLeft w:val="0"/>
          <w:marRight w:val="0"/>
          <w:marTop w:val="0"/>
          <w:marBottom w:val="0"/>
          <w:divBdr>
            <w:top w:val="none" w:sz="0" w:space="0" w:color="auto"/>
            <w:left w:val="none" w:sz="0" w:space="0" w:color="auto"/>
            <w:bottom w:val="none" w:sz="0" w:space="0" w:color="auto"/>
            <w:right w:val="none" w:sz="0" w:space="0" w:color="auto"/>
          </w:divBdr>
          <w:divsChild>
            <w:div w:id="161555899">
              <w:marLeft w:val="0"/>
              <w:marRight w:val="0"/>
              <w:marTop w:val="0"/>
              <w:marBottom w:val="0"/>
              <w:divBdr>
                <w:top w:val="none" w:sz="0" w:space="0" w:color="auto"/>
                <w:left w:val="none" w:sz="0" w:space="0" w:color="auto"/>
                <w:bottom w:val="none" w:sz="0" w:space="0" w:color="auto"/>
                <w:right w:val="none" w:sz="0" w:space="0" w:color="auto"/>
              </w:divBdr>
            </w:div>
            <w:div w:id="113258655">
              <w:marLeft w:val="0"/>
              <w:marRight w:val="0"/>
              <w:marTop w:val="0"/>
              <w:marBottom w:val="0"/>
              <w:divBdr>
                <w:top w:val="none" w:sz="0" w:space="0" w:color="auto"/>
                <w:left w:val="none" w:sz="0" w:space="0" w:color="auto"/>
                <w:bottom w:val="none" w:sz="0" w:space="0" w:color="auto"/>
                <w:right w:val="none" w:sz="0" w:space="0" w:color="auto"/>
              </w:divBdr>
            </w:div>
            <w:div w:id="17962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318">
      <w:bodyDiv w:val="1"/>
      <w:marLeft w:val="0"/>
      <w:marRight w:val="0"/>
      <w:marTop w:val="0"/>
      <w:marBottom w:val="0"/>
      <w:divBdr>
        <w:top w:val="none" w:sz="0" w:space="0" w:color="auto"/>
        <w:left w:val="none" w:sz="0" w:space="0" w:color="auto"/>
        <w:bottom w:val="none" w:sz="0" w:space="0" w:color="auto"/>
        <w:right w:val="none" w:sz="0" w:space="0" w:color="auto"/>
      </w:divBdr>
    </w:div>
    <w:div w:id="634526072">
      <w:bodyDiv w:val="1"/>
      <w:marLeft w:val="0"/>
      <w:marRight w:val="0"/>
      <w:marTop w:val="0"/>
      <w:marBottom w:val="0"/>
      <w:divBdr>
        <w:top w:val="none" w:sz="0" w:space="0" w:color="auto"/>
        <w:left w:val="none" w:sz="0" w:space="0" w:color="auto"/>
        <w:bottom w:val="none" w:sz="0" w:space="0" w:color="auto"/>
        <w:right w:val="none" w:sz="0" w:space="0" w:color="auto"/>
      </w:divBdr>
    </w:div>
    <w:div w:id="740561068">
      <w:bodyDiv w:val="1"/>
      <w:marLeft w:val="0"/>
      <w:marRight w:val="0"/>
      <w:marTop w:val="0"/>
      <w:marBottom w:val="0"/>
      <w:divBdr>
        <w:top w:val="none" w:sz="0" w:space="0" w:color="auto"/>
        <w:left w:val="none" w:sz="0" w:space="0" w:color="auto"/>
        <w:bottom w:val="none" w:sz="0" w:space="0" w:color="auto"/>
        <w:right w:val="none" w:sz="0" w:space="0" w:color="auto"/>
      </w:divBdr>
      <w:divsChild>
        <w:div w:id="1022242692">
          <w:marLeft w:val="0"/>
          <w:marRight w:val="0"/>
          <w:marTop w:val="0"/>
          <w:marBottom w:val="0"/>
          <w:divBdr>
            <w:top w:val="none" w:sz="0" w:space="0" w:color="auto"/>
            <w:left w:val="none" w:sz="0" w:space="0" w:color="auto"/>
            <w:bottom w:val="none" w:sz="0" w:space="0" w:color="auto"/>
            <w:right w:val="none" w:sz="0" w:space="0" w:color="auto"/>
          </w:divBdr>
        </w:div>
        <w:div w:id="1840927124">
          <w:marLeft w:val="0"/>
          <w:marRight w:val="0"/>
          <w:marTop w:val="0"/>
          <w:marBottom w:val="0"/>
          <w:divBdr>
            <w:top w:val="none" w:sz="0" w:space="0" w:color="auto"/>
            <w:left w:val="none" w:sz="0" w:space="0" w:color="auto"/>
            <w:bottom w:val="none" w:sz="0" w:space="0" w:color="auto"/>
            <w:right w:val="none" w:sz="0" w:space="0" w:color="auto"/>
          </w:divBdr>
        </w:div>
        <w:div w:id="796335034">
          <w:marLeft w:val="0"/>
          <w:marRight w:val="0"/>
          <w:marTop w:val="0"/>
          <w:marBottom w:val="0"/>
          <w:divBdr>
            <w:top w:val="none" w:sz="0" w:space="0" w:color="auto"/>
            <w:left w:val="none" w:sz="0" w:space="0" w:color="auto"/>
            <w:bottom w:val="none" w:sz="0" w:space="0" w:color="auto"/>
            <w:right w:val="none" w:sz="0" w:space="0" w:color="auto"/>
          </w:divBdr>
        </w:div>
      </w:divsChild>
    </w:div>
    <w:div w:id="814493996">
      <w:bodyDiv w:val="1"/>
      <w:marLeft w:val="0"/>
      <w:marRight w:val="0"/>
      <w:marTop w:val="0"/>
      <w:marBottom w:val="0"/>
      <w:divBdr>
        <w:top w:val="none" w:sz="0" w:space="0" w:color="auto"/>
        <w:left w:val="none" w:sz="0" w:space="0" w:color="auto"/>
        <w:bottom w:val="none" w:sz="0" w:space="0" w:color="auto"/>
        <w:right w:val="none" w:sz="0" w:space="0" w:color="auto"/>
      </w:divBdr>
    </w:div>
    <w:div w:id="821847611">
      <w:bodyDiv w:val="1"/>
      <w:marLeft w:val="0"/>
      <w:marRight w:val="0"/>
      <w:marTop w:val="0"/>
      <w:marBottom w:val="0"/>
      <w:divBdr>
        <w:top w:val="none" w:sz="0" w:space="0" w:color="auto"/>
        <w:left w:val="none" w:sz="0" w:space="0" w:color="auto"/>
        <w:bottom w:val="none" w:sz="0" w:space="0" w:color="auto"/>
        <w:right w:val="none" w:sz="0" w:space="0" w:color="auto"/>
      </w:divBdr>
      <w:divsChild>
        <w:div w:id="241107148">
          <w:marLeft w:val="0"/>
          <w:marRight w:val="0"/>
          <w:marTop w:val="0"/>
          <w:marBottom w:val="0"/>
          <w:divBdr>
            <w:top w:val="none" w:sz="0" w:space="0" w:color="auto"/>
            <w:left w:val="none" w:sz="0" w:space="0" w:color="auto"/>
            <w:bottom w:val="none" w:sz="0" w:space="0" w:color="auto"/>
            <w:right w:val="none" w:sz="0" w:space="0" w:color="auto"/>
          </w:divBdr>
        </w:div>
        <w:div w:id="270163792">
          <w:marLeft w:val="0"/>
          <w:marRight w:val="0"/>
          <w:marTop w:val="30"/>
          <w:marBottom w:val="0"/>
          <w:divBdr>
            <w:top w:val="none" w:sz="0" w:space="0" w:color="auto"/>
            <w:left w:val="none" w:sz="0" w:space="0" w:color="auto"/>
            <w:bottom w:val="none" w:sz="0" w:space="0" w:color="auto"/>
            <w:right w:val="none" w:sz="0" w:space="0" w:color="auto"/>
          </w:divBdr>
          <w:divsChild>
            <w:div w:id="225186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0527327">
      <w:bodyDiv w:val="1"/>
      <w:marLeft w:val="0"/>
      <w:marRight w:val="0"/>
      <w:marTop w:val="0"/>
      <w:marBottom w:val="0"/>
      <w:divBdr>
        <w:top w:val="none" w:sz="0" w:space="0" w:color="auto"/>
        <w:left w:val="none" w:sz="0" w:space="0" w:color="auto"/>
        <w:bottom w:val="none" w:sz="0" w:space="0" w:color="auto"/>
        <w:right w:val="none" w:sz="0" w:space="0" w:color="auto"/>
      </w:divBdr>
    </w:div>
    <w:div w:id="1134911162">
      <w:bodyDiv w:val="1"/>
      <w:marLeft w:val="0"/>
      <w:marRight w:val="0"/>
      <w:marTop w:val="0"/>
      <w:marBottom w:val="0"/>
      <w:divBdr>
        <w:top w:val="none" w:sz="0" w:space="0" w:color="auto"/>
        <w:left w:val="none" w:sz="0" w:space="0" w:color="auto"/>
        <w:bottom w:val="none" w:sz="0" w:space="0" w:color="auto"/>
        <w:right w:val="none" w:sz="0" w:space="0" w:color="auto"/>
      </w:divBdr>
    </w:div>
    <w:div w:id="1179084729">
      <w:bodyDiv w:val="1"/>
      <w:marLeft w:val="0"/>
      <w:marRight w:val="0"/>
      <w:marTop w:val="0"/>
      <w:marBottom w:val="0"/>
      <w:divBdr>
        <w:top w:val="none" w:sz="0" w:space="0" w:color="auto"/>
        <w:left w:val="none" w:sz="0" w:space="0" w:color="auto"/>
        <w:bottom w:val="none" w:sz="0" w:space="0" w:color="auto"/>
        <w:right w:val="none" w:sz="0" w:space="0" w:color="auto"/>
      </w:divBdr>
    </w:div>
    <w:div w:id="1441754282">
      <w:bodyDiv w:val="1"/>
      <w:marLeft w:val="0"/>
      <w:marRight w:val="0"/>
      <w:marTop w:val="0"/>
      <w:marBottom w:val="0"/>
      <w:divBdr>
        <w:top w:val="none" w:sz="0" w:space="0" w:color="auto"/>
        <w:left w:val="none" w:sz="0" w:space="0" w:color="auto"/>
        <w:bottom w:val="none" w:sz="0" w:space="0" w:color="auto"/>
        <w:right w:val="none" w:sz="0" w:space="0" w:color="auto"/>
      </w:divBdr>
    </w:div>
    <w:div w:id="1504734946">
      <w:bodyDiv w:val="1"/>
      <w:marLeft w:val="0"/>
      <w:marRight w:val="0"/>
      <w:marTop w:val="0"/>
      <w:marBottom w:val="0"/>
      <w:divBdr>
        <w:top w:val="none" w:sz="0" w:space="0" w:color="auto"/>
        <w:left w:val="none" w:sz="0" w:space="0" w:color="auto"/>
        <w:bottom w:val="none" w:sz="0" w:space="0" w:color="auto"/>
        <w:right w:val="none" w:sz="0" w:space="0" w:color="auto"/>
      </w:divBdr>
    </w:div>
    <w:div w:id="1508863151">
      <w:bodyDiv w:val="1"/>
      <w:marLeft w:val="0"/>
      <w:marRight w:val="0"/>
      <w:marTop w:val="0"/>
      <w:marBottom w:val="0"/>
      <w:divBdr>
        <w:top w:val="none" w:sz="0" w:space="0" w:color="auto"/>
        <w:left w:val="none" w:sz="0" w:space="0" w:color="auto"/>
        <w:bottom w:val="none" w:sz="0" w:space="0" w:color="auto"/>
        <w:right w:val="none" w:sz="0" w:space="0" w:color="auto"/>
      </w:divBdr>
      <w:divsChild>
        <w:div w:id="823281203">
          <w:marLeft w:val="0"/>
          <w:marRight w:val="0"/>
          <w:marTop w:val="0"/>
          <w:marBottom w:val="0"/>
          <w:divBdr>
            <w:top w:val="none" w:sz="0" w:space="0" w:color="auto"/>
            <w:left w:val="none" w:sz="0" w:space="0" w:color="auto"/>
            <w:bottom w:val="none" w:sz="0" w:space="0" w:color="auto"/>
            <w:right w:val="none" w:sz="0" w:space="0" w:color="auto"/>
          </w:divBdr>
        </w:div>
        <w:div w:id="866604763">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915556169">
          <w:marLeft w:val="0"/>
          <w:marRight w:val="0"/>
          <w:marTop w:val="0"/>
          <w:marBottom w:val="0"/>
          <w:divBdr>
            <w:top w:val="none" w:sz="0" w:space="0" w:color="auto"/>
            <w:left w:val="none" w:sz="0" w:space="0" w:color="auto"/>
            <w:bottom w:val="none" w:sz="0" w:space="0" w:color="auto"/>
            <w:right w:val="none" w:sz="0" w:space="0" w:color="auto"/>
          </w:divBdr>
        </w:div>
        <w:div w:id="1346787490">
          <w:marLeft w:val="0"/>
          <w:marRight w:val="0"/>
          <w:marTop w:val="0"/>
          <w:marBottom w:val="0"/>
          <w:divBdr>
            <w:top w:val="none" w:sz="0" w:space="0" w:color="auto"/>
            <w:left w:val="none" w:sz="0" w:space="0" w:color="auto"/>
            <w:bottom w:val="none" w:sz="0" w:space="0" w:color="auto"/>
            <w:right w:val="none" w:sz="0" w:space="0" w:color="auto"/>
          </w:divBdr>
        </w:div>
      </w:divsChild>
    </w:div>
    <w:div w:id="1656450656">
      <w:bodyDiv w:val="1"/>
      <w:marLeft w:val="0"/>
      <w:marRight w:val="0"/>
      <w:marTop w:val="0"/>
      <w:marBottom w:val="0"/>
      <w:divBdr>
        <w:top w:val="none" w:sz="0" w:space="0" w:color="auto"/>
        <w:left w:val="none" w:sz="0" w:space="0" w:color="auto"/>
        <w:bottom w:val="none" w:sz="0" w:space="0" w:color="auto"/>
        <w:right w:val="none" w:sz="0" w:space="0" w:color="auto"/>
      </w:divBdr>
    </w:div>
    <w:div w:id="1749182206">
      <w:bodyDiv w:val="1"/>
      <w:marLeft w:val="0"/>
      <w:marRight w:val="0"/>
      <w:marTop w:val="0"/>
      <w:marBottom w:val="0"/>
      <w:divBdr>
        <w:top w:val="none" w:sz="0" w:space="0" w:color="auto"/>
        <w:left w:val="none" w:sz="0" w:space="0" w:color="auto"/>
        <w:bottom w:val="none" w:sz="0" w:space="0" w:color="auto"/>
        <w:right w:val="none" w:sz="0" w:space="0" w:color="auto"/>
      </w:divBdr>
    </w:div>
    <w:div w:id="1795173221">
      <w:bodyDiv w:val="1"/>
      <w:marLeft w:val="0"/>
      <w:marRight w:val="0"/>
      <w:marTop w:val="0"/>
      <w:marBottom w:val="0"/>
      <w:divBdr>
        <w:top w:val="none" w:sz="0" w:space="0" w:color="auto"/>
        <w:left w:val="none" w:sz="0" w:space="0" w:color="auto"/>
        <w:bottom w:val="none" w:sz="0" w:space="0" w:color="auto"/>
        <w:right w:val="none" w:sz="0" w:space="0" w:color="auto"/>
      </w:divBdr>
    </w:div>
    <w:div w:id="2065331774">
      <w:bodyDiv w:val="1"/>
      <w:marLeft w:val="0"/>
      <w:marRight w:val="0"/>
      <w:marTop w:val="0"/>
      <w:marBottom w:val="0"/>
      <w:divBdr>
        <w:top w:val="none" w:sz="0" w:space="0" w:color="auto"/>
        <w:left w:val="none" w:sz="0" w:space="0" w:color="auto"/>
        <w:bottom w:val="none" w:sz="0" w:space="0" w:color="auto"/>
        <w:right w:val="none" w:sz="0" w:space="0" w:color="auto"/>
      </w:divBdr>
      <w:divsChild>
        <w:div w:id="807280310">
          <w:marLeft w:val="0"/>
          <w:marRight w:val="0"/>
          <w:marTop w:val="0"/>
          <w:marBottom w:val="0"/>
          <w:divBdr>
            <w:top w:val="none" w:sz="0" w:space="0" w:color="auto"/>
            <w:left w:val="none" w:sz="0" w:space="0" w:color="auto"/>
            <w:bottom w:val="none" w:sz="0" w:space="0" w:color="auto"/>
            <w:right w:val="none" w:sz="0" w:space="0" w:color="auto"/>
          </w:divBdr>
        </w:div>
        <w:div w:id="817919356">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568150859">
          <w:marLeft w:val="0"/>
          <w:marRight w:val="0"/>
          <w:marTop w:val="0"/>
          <w:marBottom w:val="0"/>
          <w:divBdr>
            <w:top w:val="none" w:sz="0" w:space="0" w:color="auto"/>
            <w:left w:val="none" w:sz="0" w:space="0" w:color="auto"/>
            <w:bottom w:val="none" w:sz="0" w:space="0" w:color="auto"/>
            <w:right w:val="none" w:sz="0" w:space="0" w:color="auto"/>
          </w:divBdr>
        </w:div>
        <w:div w:id="66879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Doherty</dc:creator>
  <cp:keywords/>
  <dc:description/>
  <cp:lastModifiedBy>Alejandra Posada</cp:lastModifiedBy>
  <cp:revision>8</cp:revision>
  <dcterms:created xsi:type="dcterms:W3CDTF">2018-12-08T01:13:00Z</dcterms:created>
  <dcterms:modified xsi:type="dcterms:W3CDTF">2018-12-10T20:39:00Z</dcterms:modified>
</cp:coreProperties>
</file>