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ABBC" w14:textId="5E911AAD" w:rsidR="00CA507C" w:rsidRPr="005F7812" w:rsidRDefault="009B6D60" w:rsidP="009B6D60">
      <w:pPr>
        <w:ind w:left="1080" w:hanging="720"/>
        <w:jc w:val="right"/>
        <w:rPr>
          <w:rFonts w:ascii="Arial" w:hAnsi="Arial" w:cs="Arial"/>
        </w:rPr>
      </w:pPr>
      <w:r w:rsidRPr="00DF0824">
        <w:rPr>
          <w:rFonts w:ascii="Arial" w:hAnsi="Arial" w:cs="Arial"/>
          <w:noProof/>
          <w:szCs w:val="22"/>
        </w:rPr>
        <w:drawing>
          <wp:anchor distT="0" distB="0" distL="114300" distR="114300" simplePos="0" relativeHeight="251659264" behindDoc="0" locked="0" layoutInCell="1" allowOverlap="1" wp14:anchorId="7FB9541B" wp14:editId="4D2D4119">
            <wp:simplePos x="0" y="0"/>
            <wp:positionH relativeFrom="margin">
              <wp:posOffset>0</wp:posOffset>
            </wp:positionH>
            <wp:positionV relativeFrom="margin">
              <wp:posOffset>42431</wp:posOffset>
            </wp:positionV>
            <wp:extent cx="1497330" cy="60706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a:stretch>
                      <a:fillRect/>
                    </a:stretch>
                  </pic:blipFill>
                  <pic:spPr bwMode="auto">
                    <a:xfrm>
                      <a:off x="0" y="0"/>
                      <a:ext cx="1497330" cy="6070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position w:val="-1"/>
          <w:sz w:val="20"/>
        </w:rPr>
        <mc:AlternateContent>
          <mc:Choice Requires="wps">
            <w:drawing>
              <wp:inline distT="0" distB="0" distL="0" distR="0" wp14:anchorId="6545A004" wp14:editId="198F9A70">
                <wp:extent cx="2506652" cy="768136"/>
                <wp:effectExtent l="12700" t="12700" r="0" b="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6652" cy="768136"/>
                        </a:xfrm>
                        <a:prstGeom prst="rect">
                          <a:avLst/>
                        </a:prstGeom>
                        <a:noFill/>
                        <a:ln w="25400">
                          <a:solidFill>
                            <a:srgbClr val="11111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B2994E" w14:textId="4716AE94" w:rsidR="009B6D60" w:rsidRDefault="009B6D60" w:rsidP="009B6D60">
                            <w:pPr>
                              <w:spacing w:before="53"/>
                              <w:ind w:left="58"/>
                              <w:rPr>
                                <w:sz w:val="18"/>
                              </w:rPr>
                            </w:pPr>
                            <w:r>
                              <w:rPr>
                                <w:color w:val="4D4D4D"/>
                                <w:sz w:val="18"/>
                              </w:rPr>
                              <w:t xml:space="preserve">Related to </w:t>
                            </w:r>
                            <w:r>
                              <w:rPr>
                                <w:color w:val="4D4D4D"/>
                                <w:sz w:val="18"/>
                              </w:rPr>
                              <w:t>Policy Number: 1</w:t>
                            </w:r>
                          </w:p>
                          <w:p w14:paraId="15B0142A" w14:textId="77777777" w:rsidR="009B6D60" w:rsidRDefault="009B6D60" w:rsidP="009B6D60">
                            <w:pPr>
                              <w:pStyle w:val="BodyText"/>
                              <w:spacing w:before="10"/>
                              <w:ind w:left="-1170"/>
                              <w:rPr>
                                <w:sz w:val="21"/>
                              </w:rPr>
                            </w:pPr>
                          </w:p>
                          <w:p w14:paraId="63766FE3" w14:textId="21E8B70C" w:rsidR="009B6D60" w:rsidRPr="009B6D60" w:rsidRDefault="009B6D60" w:rsidP="009B6D60">
                            <w:pPr>
                              <w:ind w:left="58"/>
                              <w:rPr>
                                <w:color w:val="4D4D4D"/>
                                <w:sz w:val="18"/>
                              </w:rPr>
                            </w:pPr>
                            <w:r>
                              <w:rPr>
                                <w:color w:val="4D4D4D"/>
                                <w:sz w:val="18"/>
                              </w:rPr>
                              <w:t xml:space="preserve">Board </w:t>
                            </w:r>
                            <w:r>
                              <w:rPr>
                                <w:color w:val="4D4D4D"/>
                                <w:sz w:val="18"/>
                              </w:rPr>
                              <w:t>Adoption Date:  February 25, 2021</w:t>
                            </w:r>
                          </w:p>
                        </w:txbxContent>
                      </wps:txbx>
                      <wps:bodyPr rot="0" vert="horz" wrap="square" lIns="0" tIns="0" rIns="0" bIns="0" anchor="t" anchorCtr="0" upright="1">
                        <a:noAutofit/>
                      </wps:bodyPr>
                    </wps:wsp>
                  </a:graphicData>
                </a:graphic>
              </wp:inline>
            </w:drawing>
          </mc:Choice>
          <mc:Fallback>
            <w:pict>
              <v:shapetype w14:anchorId="6545A004" id="_x0000_t202" coordsize="21600,21600" o:spt="202" path="m,l,21600r21600,l21600,xe">
                <v:stroke joinstyle="miter"/>
                <v:path gradientshapeok="t" o:connecttype="rect"/>
              </v:shapetype>
              <v:shape id="Text Box 26" o:spid="_x0000_s1026" type="#_x0000_t202" style="width:197.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" filled="f" strokecolor="#111" strokeweight="2pt">
                <v:path arrowok="t"/>
                <v:textbox inset="0,0,0,0">
                  <w:txbxContent>
                    <w:p w14:paraId="23B2994E" w14:textId="4716AE94" w:rsidR="009B6D60" w:rsidRDefault="009B6D60" w:rsidP="009B6D60">
                      <w:pPr>
                        <w:spacing w:before="53"/>
                        <w:ind w:left="58"/>
                        <w:rPr>
                          <w:sz w:val="18"/>
                        </w:rPr>
                      </w:pPr>
                      <w:r>
                        <w:rPr>
                          <w:color w:val="4D4D4D"/>
                          <w:sz w:val="18"/>
                        </w:rPr>
                        <w:t xml:space="preserve">Related to </w:t>
                      </w:r>
                      <w:r>
                        <w:rPr>
                          <w:color w:val="4D4D4D"/>
                          <w:sz w:val="18"/>
                        </w:rPr>
                        <w:t>Policy Number: 1</w:t>
                      </w:r>
                    </w:p>
                    <w:p w14:paraId="15B0142A" w14:textId="77777777" w:rsidR="009B6D60" w:rsidRDefault="009B6D60" w:rsidP="009B6D60">
                      <w:pPr>
                        <w:pStyle w:val="BodyText"/>
                        <w:spacing w:before="10"/>
                        <w:ind w:left="-1170"/>
                        <w:rPr>
                          <w:sz w:val="21"/>
                        </w:rPr>
                      </w:pPr>
                    </w:p>
                    <w:p w14:paraId="63766FE3" w14:textId="21E8B70C" w:rsidR="009B6D60" w:rsidRPr="009B6D60" w:rsidRDefault="009B6D60" w:rsidP="009B6D60">
                      <w:pPr>
                        <w:ind w:left="58"/>
                        <w:rPr>
                          <w:color w:val="4D4D4D"/>
                          <w:sz w:val="18"/>
                        </w:rPr>
                      </w:pPr>
                      <w:r>
                        <w:rPr>
                          <w:color w:val="4D4D4D"/>
                          <w:sz w:val="18"/>
                        </w:rPr>
                        <w:t xml:space="preserve">Board </w:t>
                      </w:r>
                      <w:r>
                        <w:rPr>
                          <w:color w:val="4D4D4D"/>
                          <w:sz w:val="18"/>
                        </w:rPr>
                        <w:t>Adoption Date:  February 25, 2021</w:t>
                      </w:r>
                    </w:p>
                  </w:txbxContent>
                </v:textbox>
                <w10:anchorlock/>
              </v:shape>
            </w:pict>
          </mc:Fallback>
        </mc:AlternateContent>
      </w:r>
    </w:p>
    <w:p w14:paraId="52E93399" w14:textId="77777777" w:rsidR="00783C0D" w:rsidRDefault="00783C0D" w:rsidP="00783C0D">
      <w:pPr>
        <w:spacing w:before="100" w:beforeAutospacing="1" w:after="100" w:afterAutospacing="1"/>
        <w:jc w:val="center"/>
        <w:rPr>
          <w:rFonts w:ascii="Arial" w:eastAsia="Times New Roman" w:hAnsi="Arial" w:cs="Arial"/>
          <w:b/>
          <w:bCs/>
        </w:rPr>
      </w:pPr>
      <w:r>
        <w:rPr>
          <w:rFonts w:ascii="Arial" w:eastAsia="Times New Roman" w:hAnsi="Arial" w:cs="Arial"/>
          <w:b/>
          <w:bCs/>
        </w:rPr>
        <w:t>Peninsula Clean Energy Authority 2021 Legislative Platform</w:t>
      </w:r>
    </w:p>
    <w:p w14:paraId="576D486D" w14:textId="77777777" w:rsidR="00CA507C" w:rsidRPr="005F7812" w:rsidRDefault="00CA507C" w:rsidP="00CA507C">
      <w:pPr>
        <w:spacing w:before="100" w:beforeAutospacing="1" w:after="100" w:afterAutospacing="1"/>
        <w:rPr>
          <w:rFonts w:ascii="Arial" w:eastAsia="Times New Roman" w:hAnsi="Arial" w:cs="Arial"/>
        </w:rPr>
      </w:pPr>
      <w:r w:rsidRPr="005F7812">
        <w:rPr>
          <w:rFonts w:ascii="Arial" w:eastAsia="Times New Roman" w:hAnsi="Arial" w:cs="Arial"/>
          <w:b/>
          <w:bCs/>
        </w:rPr>
        <w:t xml:space="preserve">Overview and Purpose </w:t>
      </w:r>
    </w:p>
    <w:p w14:paraId="16806141" w14:textId="77777777" w:rsidR="00CA507C" w:rsidRPr="005F7812" w:rsidRDefault="00CA507C" w:rsidP="00CA507C">
      <w:pPr>
        <w:spacing w:before="100" w:beforeAutospacing="1" w:after="100" w:afterAutospacing="1"/>
        <w:rPr>
          <w:rFonts w:ascii="Arial" w:eastAsia="Times New Roman" w:hAnsi="Arial" w:cs="Arial"/>
        </w:rPr>
      </w:pPr>
      <w:r w:rsidRPr="005F7812">
        <w:rPr>
          <w:rFonts w:ascii="Arial" w:eastAsia="Times New Roman" w:hAnsi="Arial" w:cs="Arial"/>
        </w:rPr>
        <w:t xml:space="preserve">Peninsula Clean Energy Authority’s (PCE’s) Legislative Policy Platform (Platform) serves as a guide to the PCE Board of Directors and PCE staff in their advocacy efforts and engagement on policy matters of interest to PCE. The Platform allows both Board members and staff to pursue actions at the local, regional, state and federal legislative levels in a consistent manner and with the understanding that they are pursuing actions in the best interest of the organization and its mission, its member agencies, and its customers. The Platform also enables the organization to move swiftly to respond to </w:t>
      </w:r>
      <w:r w:rsidR="001B1758" w:rsidRPr="005F7812">
        <w:rPr>
          <w:rFonts w:ascii="Arial" w:eastAsia="Times New Roman" w:hAnsi="Arial" w:cs="Arial"/>
        </w:rPr>
        <w:t xml:space="preserve">issues before </w:t>
      </w:r>
      <w:r w:rsidRPr="005F7812">
        <w:rPr>
          <w:rFonts w:ascii="Arial" w:eastAsia="Times New Roman" w:hAnsi="Arial" w:cs="Arial"/>
        </w:rPr>
        <w:t>Legislat</w:t>
      </w:r>
      <w:r w:rsidR="001B1758" w:rsidRPr="005F7812">
        <w:rPr>
          <w:rFonts w:ascii="Arial" w:eastAsia="Times New Roman" w:hAnsi="Arial" w:cs="Arial"/>
        </w:rPr>
        <w:t>ure</w:t>
      </w:r>
      <w:r w:rsidRPr="005F7812">
        <w:rPr>
          <w:rFonts w:ascii="Arial" w:eastAsia="Times New Roman" w:hAnsi="Arial" w:cs="Arial"/>
        </w:rPr>
        <w:t xml:space="preserve"> </w:t>
      </w:r>
      <w:r w:rsidR="001B1758" w:rsidRPr="005F7812">
        <w:rPr>
          <w:rFonts w:ascii="Arial" w:eastAsia="Times New Roman" w:hAnsi="Arial" w:cs="Arial"/>
        </w:rPr>
        <w:t xml:space="preserve">and </w:t>
      </w:r>
      <w:r w:rsidRPr="005F7812">
        <w:rPr>
          <w:rFonts w:ascii="Arial" w:eastAsia="Times New Roman" w:hAnsi="Arial" w:cs="Arial"/>
        </w:rPr>
        <w:t>Executive</w:t>
      </w:r>
      <w:r w:rsidR="001B1758" w:rsidRPr="005F7812">
        <w:rPr>
          <w:rFonts w:ascii="Arial" w:eastAsia="Times New Roman" w:hAnsi="Arial" w:cs="Arial"/>
        </w:rPr>
        <w:t xml:space="preserve"> </w:t>
      </w:r>
      <w:r w:rsidR="00893250" w:rsidRPr="005F7812">
        <w:rPr>
          <w:rFonts w:ascii="Arial" w:eastAsia="Times New Roman" w:hAnsi="Arial" w:cs="Arial"/>
        </w:rPr>
        <w:t>B</w:t>
      </w:r>
      <w:r w:rsidR="001B1758" w:rsidRPr="005F7812">
        <w:rPr>
          <w:rFonts w:ascii="Arial" w:eastAsia="Times New Roman" w:hAnsi="Arial" w:cs="Arial"/>
        </w:rPr>
        <w:t xml:space="preserve">ranch agencies including </w:t>
      </w:r>
      <w:r w:rsidRPr="005F7812">
        <w:rPr>
          <w:rFonts w:ascii="Arial" w:eastAsia="Times New Roman" w:hAnsi="Arial" w:cs="Arial"/>
        </w:rPr>
        <w:t>California Public Utilities Commission</w:t>
      </w:r>
      <w:r w:rsidR="001B1758" w:rsidRPr="005F7812">
        <w:rPr>
          <w:rFonts w:ascii="Arial" w:eastAsia="Times New Roman" w:hAnsi="Arial" w:cs="Arial"/>
        </w:rPr>
        <w:t xml:space="preserve">, the California Energy Commission, </w:t>
      </w:r>
      <w:r w:rsidR="00AC7179" w:rsidRPr="005F7812">
        <w:rPr>
          <w:rFonts w:ascii="Arial" w:eastAsia="Times New Roman" w:hAnsi="Arial" w:cs="Arial"/>
        </w:rPr>
        <w:t xml:space="preserve">California Independent System Operator, </w:t>
      </w:r>
      <w:r w:rsidR="001B1758" w:rsidRPr="005F7812">
        <w:rPr>
          <w:rFonts w:ascii="Arial" w:eastAsia="Times New Roman" w:hAnsi="Arial" w:cs="Arial"/>
        </w:rPr>
        <w:t>and the Air Resources Board</w:t>
      </w:r>
      <w:r w:rsidRPr="005F7812">
        <w:rPr>
          <w:rFonts w:ascii="Arial" w:eastAsia="Times New Roman" w:hAnsi="Arial" w:cs="Arial"/>
        </w:rPr>
        <w:t xml:space="preserve"> so that PCE’s views can be heard on important matters in a timely fashion. The Platform also provides guidance to the Chief Executive Office</w:t>
      </w:r>
      <w:r w:rsidR="008606D8">
        <w:rPr>
          <w:rFonts w:ascii="Arial" w:eastAsia="Times New Roman" w:hAnsi="Arial" w:cs="Arial"/>
        </w:rPr>
        <w:t>r</w:t>
      </w:r>
      <w:r w:rsidRPr="005F7812">
        <w:rPr>
          <w:rFonts w:ascii="Arial" w:eastAsia="Times New Roman" w:hAnsi="Arial" w:cs="Arial"/>
        </w:rPr>
        <w:t xml:space="preserve"> on support or oppose positions that should be taken on legislative matters identified by the </w:t>
      </w:r>
      <w:r w:rsidR="005F7812" w:rsidRPr="005F7812">
        <w:rPr>
          <w:rFonts w:ascii="Arial" w:eastAsia="Times New Roman" w:hAnsi="Arial" w:cs="Arial"/>
        </w:rPr>
        <w:t>staff legislative lead</w:t>
      </w:r>
      <w:r w:rsidRPr="005F7812">
        <w:rPr>
          <w:rFonts w:ascii="Arial" w:eastAsia="Times New Roman" w:hAnsi="Arial" w:cs="Arial"/>
        </w:rPr>
        <w:t xml:space="preserve"> and the California Community Choice Association (</w:t>
      </w:r>
      <w:proofErr w:type="spellStart"/>
      <w:r w:rsidRPr="005F7812">
        <w:rPr>
          <w:rFonts w:ascii="Arial" w:eastAsia="Times New Roman" w:hAnsi="Arial" w:cs="Arial"/>
        </w:rPr>
        <w:t>CalCCA</w:t>
      </w:r>
      <w:proofErr w:type="spellEnd"/>
      <w:r w:rsidRPr="005F7812">
        <w:rPr>
          <w:rFonts w:ascii="Arial" w:eastAsia="Times New Roman" w:hAnsi="Arial" w:cs="Arial"/>
        </w:rPr>
        <w:t>) Board of Directors.</w:t>
      </w:r>
    </w:p>
    <w:p w14:paraId="561FC46B" w14:textId="77777777" w:rsidR="00572886" w:rsidRPr="005F7812" w:rsidRDefault="005D4057" w:rsidP="005D4057">
      <w:pPr>
        <w:pStyle w:val="ListParagraph"/>
        <w:numPr>
          <w:ilvl w:val="0"/>
          <w:numId w:val="1"/>
        </w:numPr>
        <w:rPr>
          <w:rFonts w:ascii="Arial" w:hAnsi="Arial" w:cs="Arial"/>
          <w:b/>
          <w:bCs/>
        </w:rPr>
      </w:pPr>
      <w:r w:rsidRPr="005F7812">
        <w:rPr>
          <w:rFonts w:ascii="Arial" w:hAnsi="Arial" w:cs="Arial"/>
          <w:b/>
          <w:bCs/>
        </w:rPr>
        <w:t>Governance and Authority</w:t>
      </w:r>
    </w:p>
    <w:p w14:paraId="1BBF137E"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 xml:space="preserve">Oppose legislation that limits the local decision-making authority for CCAs, including rate-setting authority and procurement of energy and capacity to serve their customers. </w:t>
      </w:r>
    </w:p>
    <w:p w14:paraId="0C5B7B5B"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 xml:space="preserve">Oppose legislation that limits PCE’s ability to effectively serve its customers. </w:t>
      </w:r>
    </w:p>
    <w:p w14:paraId="2C97F67A"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 xml:space="preserve">Support legislation that makes it easier for other cities and counties to form a CCA, become members of </w:t>
      </w:r>
      <w:r w:rsidR="001B28D5" w:rsidRPr="005F7812">
        <w:rPr>
          <w:rFonts w:ascii="Arial" w:hAnsi="Arial" w:cs="Arial"/>
        </w:rPr>
        <w:t>PCE</w:t>
      </w:r>
      <w:r w:rsidRPr="005F7812">
        <w:rPr>
          <w:rFonts w:ascii="Arial" w:hAnsi="Arial" w:cs="Arial"/>
        </w:rPr>
        <w:t xml:space="preserve"> or other CCAs, and oppose legislation that restricts that ability. </w:t>
      </w:r>
    </w:p>
    <w:p w14:paraId="5CD7646F" w14:textId="77777777" w:rsidR="005F7812" w:rsidRPr="005F7812" w:rsidRDefault="005F7812" w:rsidP="005F7812">
      <w:pPr>
        <w:pStyle w:val="NormalWeb"/>
        <w:numPr>
          <w:ilvl w:val="0"/>
          <w:numId w:val="1"/>
        </w:numPr>
        <w:rPr>
          <w:rFonts w:ascii="Arial" w:hAnsi="Arial" w:cs="Arial"/>
          <w:b/>
          <w:bCs/>
        </w:rPr>
      </w:pPr>
      <w:r w:rsidRPr="005F7812">
        <w:rPr>
          <w:rFonts w:ascii="Arial" w:hAnsi="Arial" w:cs="Arial"/>
          <w:b/>
          <w:bCs/>
        </w:rPr>
        <w:t>Decarbonization</w:t>
      </w:r>
    </w:p>
    <w:p w14:paraId="4E34E66B"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Advocate for and support legislative efforts to accelerate decarbonization of the energy sector, transportation and the built environment</w:t>
      </w:r>
    </w:p>
    <w:p w14:paraId="5E786685"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Advocate for and support legislative efforts to support and expand access to transportation and building electrification</w:t>
      </w:r>
    </w:p>
    <w:p w14:paraId="4C01D960"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Advocate for and support efforts to ensure flexibility in program design so that local data and local needs directly inform program offerings</w:t>
      </w:r>
    </w:p>
    <w:p w14:paraId="7DFD28A3"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Support state funding for electric vehicle infrastructure grant programs.</w:t>
      </w:r>
    </w:p>
    <w:p w14:paraId="740D0393"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Support legislative efforts to incentivize the delivery of carbon-free energy on a 24-7 basis.</w:t>
      </w:r>
    </w:p>
    <w:p w14:paraId="324F231A"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 xml:space="preserve">Advocate for and support legislative efforts to provide incentives </w:t>
      </w:r>
      <w:r w:rsidR="009123E7">
        <w:rPr>
          <w:rFonts w:ascii="Arial" w:hAnsi="Arial" w:cs="Arial"/>
        </w:rPr>
        <w:t>to support</w:t>
      </w:r>
      <w:r w:rsidRPr="005F7812">
        <w:rPr>
          <w:rFonts w:ascii="Arial" w:hAnsi="Arial" w:cs="Arial"/>
        </w:rPr>
        <w:t xml:space="preserve"> underserved communities</w:t>
      </w:r>
      <w:r w:rsidR="009123E7">
        <w:rPr>
          <w:rFonts w:ascii="Arial" w:hAnsi="Arial" w:cs="Arial"/>
        </w:rPr>
        <w:t xml:space="preserve"> achieving decarbonization.</w:t>
      </w:r>
    </w:p>
    <w:p w14:paraId="21026A4C" w14:textId="77777777" w:rsidR="005F7812" w:rsidRPr="005F7812" w:rsidRDefault="005F7812" w:rsidP="005F7812">
      <w:pPr>
        <w:pStyle w:val="ListParagraph"/>
        <w:numPr>
          <w:ilvl w:val="0"/>
          <w:numId w:val="1"/>
        </w:numPr>
        <w:rPr>
          <w:rFonts w:ascii="Arial" w:hAnsi="Arial" w:cs="Arial"/>
          <w:b/>
          <w:bCs/>
        </w:rPr>
      </w:pPr>
      <w:r w:rsidRPr="005F7812">
        <w:rPr>
          <w:rFonts w:ascii="Arial" w:hAnsi="Arial" w:cs="Arial"/>
          <w:b/>
          <w:bCs/>
        </w:rPr>
        <w:lastRenderedPageBreak/>
        <w:t>IOU Charges and Exit Fees (Power Charge Indifference Adjustment (PCIA))</w:t>
      </w:r>
    </w:p>
    <w:p w14:paraId="74B4B4E1"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 xml:space="preserve">Support efforts that seek to eliminate exit fees including the PCIA or wind down exit fees within a reasonable time frame. </w:t>
      </w:r>
    </w:p>
    <w:p w14:paraId="538C22AF"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Support efforts to minimize the cost of the PCIA generally and minimize its impact on PCE’s rates</w:t>
      </w:r>
      <w:r w:rsidR="009123E7">
        <w:rPr>
          <w:rFonts w:ascii="Arial" w:hAnsi="Arial" w:cs="Arial"/>
        </w:rPr>
        <w:t>.</w:t>
      </w:r>
    </w:p>
    <w:p w14:paraId="421B72A9"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 xml:space="preserve">Support </w:t>
      </w:r>
      <w:proofErr w:type="spellStart"/>
      <w:r w:rsidRPr="005F7812">
        <w:rPr>
          <w:rFonts w:ascii="Arial" w:hAnsi="Arial" w:cs="Arial"/>
        </w:rPr>
        <w:t>CalCCA</w:t>
      </w:r>
      <w:proofErr w:type="spellEnd"/>
      <w:r w:rsidRPr="005F7812">
        <w:rPr>
          <w:rFonts w:ascii="Arial" w:hAnsi="Arial" w:cs="Arial"/>
        </w:rPr>
        <w:t xml:space="preserve"> efforts to increase the transparency of IOU electricity contracts that provide the basis for PCIA charges</w:t>
      </w:r>
      <w:r w:rsidR="009123E7">
        <w:rPr>
          <w:rFonts w:ascii="Arial" w:hAnsi="Arial" w:cs="Arial"/>
        </w:rPr>
        <w:t>.</w:t>
      </w:r>
    </w:p>
    <w:p w14:paraId="320A8421"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 xml:space="preserve">Support legislation that would bring stability to the PCIA and/or provide new mechanisms for CCAs to securitize PCIA charges. </w:t>
      </w:r>
    </w:p>
    <w:p w14:paraId="587BAB72"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Oppose legislation that would increase or expand exit fees</w:t>
      </w:r>
      <w:r w:rsidR="009123E7">
        <w:rPr>
          <w:rFonts w:ascii="Arial" w:hAnsi="Arial" w:cs="Arial"/>
        </w:rPr>
        <w:t xml:space="preserve"> </w:t>
      </w:r>
      <w:r w:rsidRPr="005F7812">
        <w:rPr>
          <w:rFonts w:ascii="Arial" w:hAnsi="Arial" w:cs="Arial"/>
        </w:rPr>
        <w:t xml:space="preserve">on CCA customers. </w:t>
      </w:r>
    </w:p>
    <w:p w14:paraId="1B6D1CDE" w14:textId="77777777" w:rsidR="005D4057" w:rsidRPr="005F7812" w:rsidRDefault="005D4057" w:rsidP="005D4057">
      <w:pPr>
        <w:pStyle w:val="ListParagraph"/>
        <w:numPr>
          <w:ilvl w:val="0"/>
          <w:numId w:val="1"/>
        </w:numPr>
        <w:rPr>
          <w:rFonts w:ascii="Arial" w:hAnsi="Arial" w:cs="Arial"/>
          <w:b/>
          <w:bCs/>
        </w:rPr>
      </w:pPr>
      <w:r w:rsidRPr="005F7812">
        <w:rPr>
          <w:rFonts w:ascii="Arial" w:hAnsi="Arial" w:cs="Arial"/>
          <w:b/>
          <w:bCs/>
        </w:rPr>
        <w:t>Resource Adequacy</w:t>
      </w:r>
    </w:p>
    <w:p w14:paraId="43F92C11" w14:textId="77777777" w:rsidR="005D4057" w:rsidRPr="005F7812" w:rsidRDefault="005D4057" w:rsidP="005D4057">
      <w:pPr>
        <w:pStyle w:val="ListParagraph"/>
        <w:numPr>
          <w:ilvl w:val="1"/>
          <w:numId w:val="1"/>
        </w:numPr>
        <w:rPr>
          <w:rFonts w:ascii="Arial" w:hAnsi="Arial" w:cs="Arial"/>
        </w:rPr>
      </w:pPr>
      <w:r w:rsidRPr="005F7812">
        <w:rPr>
          <w:rFonts w:ascii="Arial" w:hAnsi="Arial" w:cs="Arial"/>
        </w:rPr>
        <w:t xml:space="preserve">Support </w:t>
      </w:r>
      <w:r w:rsidR="00777869">
        <w:rPr>
          <w:rFonts w:ascii="Arial" w:hAnsi="Arial" w:cs="Arial"/>
        </w:rPr>
        <w:t>legislation by</w:t>
      </w:r>
      <w:r w:rsidRPr="005F7812">
        <w:rPr>
          <w:rFonts w:ascii="Arial" w:hAnsi="Arial" w:cs="Arial"/>
        </w:rPr>
        <w:t xml:space="preserve"> </w:t>
      </w:r>
      <w:proofErr w:type="spellStart"/>
      <w:r w:rsidRPr="005F7812">
        <w:rPr>
          <w:rFonts w:ascii="Arial" w:hAnsi="Arial" w:cs="Arial"/>
        </w:rPr>
        <w:t>CalCCA</w:t>
      </w:r>
      <w:proofErr w:type="spellEnd"/>
      <w:r w:rsidRPr="005F7812">
        <w:rPr>
          <w:rFonts w:ascii="Arial" w:hAnsi="Arial" w:cs="Arial"/>
        </w:rPr>
        <w:t xml:space="preserve"> to </w:t>
      </w:r>
      <w:r w:rsidR="00777869">
        <w:rPr>
          <w:rFonts w:ascii="Arial" w:hAnsi="Arial" w:cs="Arial"/>
        </w:rPr>
        <w:t>implement the recommendations from Working Group 3 via statute</w:t>
      </w:r>
      <w:r w:rsidRPr="005F7812">
        <w:rPr>
          <w:rFonts w:ascii="Arial" w:hAnsi="Arial" w:cs="Arial"/>
        </w:rPr>
        <w:t xml:space="preserve">. </w:t>
      </w:r>
    </w:p>
    <w:p w14:paraId="491C6397" w14:textId="77777777" w:rsidR="005D4057" w:rsidRDefault="005D4057" w:rsidP="005D4057">
      <w:pPr>
        <w:pStyle w:val="ListParagraph"/>
        <w:numPr>
          <w:ilvl w:val="1"/>
          <w:numId w:val="1"/>
        </w:numPr>
        <w:rPr>
          <w:rFonts w:ascii="Arial" w:hAnsi="Arial" w:cs="Arial"/>
        </w:rPr>
      </w:pPr>
      <w:r w:rsidRPr="005F7812">
        <w:rPr>
          <w:rFonts w:ascii="Arial" w:hAnsi="Arial" w:cs="Arial"/>
        </w:rPr>
        <w:t>Oppose legislation that would supplant CCAs</w:t>
      </w:r>
      <w:r w:rsidR="008606D8">
        <w:rPr>
          <w:rFonts w:ascii="Arial" w:hAnsi="Arial" w:cs="Arial"/>
        </w:rPr>
        <w:t>’</w:t>
      </w:r>
      <w:r w:rsidRPr="005F7812">
        <w:rPr>
          <w:rFonts w:ascii="Arial" w:hAnsi="Arial" w:cs="Arial"/>
        </w:rPr>
        <w:t xml:space="preserve"> procurement authority for Resource Adequacy. </w:t>
      </w:r>
    </w:p>
    <w:p w14:paraId="61256268" w14:textId="77777777" w:rsidR="006A4A4F" w:rsidRPr="006A4A4F" w:rsidRDefault="006A4A4F" w:rsidP="006A4A4F">
      <w:pPr>
        <w:pStyle w:val="ListParagraph"/>
        <w:numPr>
          <w:ilvl w:val="1"/>
          <w:numId w:val="1"/>
        </w:numPr>
        <w:rPr>
          <w:rFonts w:ascii="Arial" w:hAnsi="Arial" w:cs="Arial"/>
        </w:rPr>
      </w:pPr>
      <w:r>
        <w:rPr>
          <w:rFonts w:ascii="Arial" w:hAnsi="Arial" w:cs="Arial"/>
        </w:rPr>
        <w:t>Support reform of the CPUC resource adequacy program to allow for stability in the resource adequacy value of existing resources.</w:t>
      </w:r>
    </w:p>
    <w:p w14:paraId="723D25B7" w14:textId="77777777" w:rsidR="005D4057" w:rsidRDefault="005D4057" w:rsidP="005D4057">
      <w:pPr>
        <w:pStyle w:val="ListParagraph"/>
        <w:numPr>
          <w:ilvl w:val="1"/>
          <w:numId w:val="1"/>
        </w:numPr>
        <w:rPr>
          <w:rFonts w:ascii="Arial" w:hAnsi="Arial" w:cs="Arial"/>
        </w:rPr>
      </w:pPr>
      <w:r w:rsidRPr="005F7812">
        <w:rPr>
          <w:rFonts w:ascii="Arial" w:hAnsi="Arial" w:cs="Arial"/>
        </w:rPr>
        <w:t xml:space="preserve">Advocate for and support efforts to remove barriers to demand response, microgrids and behind the meter resources to provide Resource Adequacy. </w:t>
      </w:r>
    </w:p>
    <w:p w14:paraId="2EDCD9F0" w14:textId="77777777" w:rsidR="005F7812" w:rsidRPr="005F7812" w:rsidRDefault="005F7812" w:rsidP="005F7812">
      <w:pPr>
        <w:pStyle w:val="ListParagraph"/>
        <w:numPr>
          <w:ilvl w:val="0"/>
          <w:numId w:val="1"/>
        </w:numPr>
        <w:rPr>
          <w:rFonts w:ascii="Arial" w:hAnsi="Arial" w:cs="Arial"/>
          <w:b/>
          <w:bCs/>
        </w:rPr>
      </w:pPr>
      <w:r w:rsidRPr="005F7812">
        <w:rPr>
          <w:rFonts w:ascii="Arial" w:hAnsi="Arial" w:cs="Arial"/>
          <w:b/>
          <w:bCs/>
        </w:rPr>
        <w:t>Environmental Justice</w:t>
      </w:r>
    </w:p>
    <w:p w14:paraId="69A19AC9" w14:textId="77777777" w:rsidR="005F7812" w:rsidRPr="005F7812" w:rsidRDefault="006A4A4F" w:rsidP="005F7812">
      <w:pPr>
        <w:pStyle w:val="NormalWeb"/>
        <w:numPr>
          <w:ilvl w:val="1"/>
          <w:numId w:val="1"/>
        </w:numPr>
        <w:rPr>
          <w:rFonts w:ascii="Arial" w:hAnsi="Arial" w:cs="Arial"/>
        </w:rPr>
      </w:pPr>
      <w:r>
        <w:rPr>
          <w:rFonts w:ascii="Arial" w:hAnsi="Arial" w:cs="Arial"/>
        </w:rPr>
        <w:t>Support</w:t>
      </w:r>
      <w:r w:rsidR="005F7812" w:rsidRPr="005F7812">
        <w:rPr>
          <w:rFonts w:ascii="Arial" w:hAnsi="Arial" w:cs="Arial"/>
        </w:rPr>
        <w:t xml:space="preserve"> legislation that </w:t>
      </w:r>
      <w:r>
        <w:rPr>
          <w:rFonts w:ascii="Arial" w:hAnsi="Arial" w:cs="Arial"/>
        </w:rPr>
        <w:t>supports</w:t>
      </w:r>
      <w:r w:rsidR="005F7812" w:rsidRPr="005F7812">
        <w:rPr>
          <w:rFonts w:ascii="Arial" w:hAnsi="Arial" w:cs="Arial"/>
        </w:rPr>
        <w:t xml:space="preserve"> the ability of underserved communities in the PCE service territory to have affordable, reliable and clean energy. </w:t>
      </w:r>
    </w:p>
    <w:p w14:paraId="77BBFF9C"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 xml:space="preserve">Support legislation that strengthens the resilience of vulnerable communities to the impacts of climate change. </w:t>
      </w:r>
    </w:p>
    <w:p w14:paraId="024A07C6"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Support legislation that enables all communities, including emerging and historically marginalized communities</w:t>
      </w:r>
      <w:r w:rsidR="00F76D94">
        <w:rPr>
          <w:rFonts w:ascii="Arial" w:hAnsi="Arial" w:cs="Arial"/>
        </w:rPr>
        <w:t xml:space="preserve"> </w:t>
      </w:r>
      <w:r w:rsidRPr="005F7812">
        <w:rPr>
          <w:rFonts w:ascii="Arial" w:hAnsi="Arial" w:cs="Arial"/>
        </w:rPr>
        <w:t>in California</w:t>
      </w:r>
      <w:r w:rsidR="00E0411C">
        <w:rPr>
          <w:rFonts w:ascii="Arial" w:hAnsi="Arial" w:cs="Arial"/>
        </w:rPr>
        <w:t>,</w:t>
      </w:r>
      <w:r w:rsidRPr="005F7812">
        <w:rPr>
          <w:rFonts w:ascii="Arial" w:hAnsi="Arial" w:cs="Arial"/>
        </w:rPr>
        <w:t xml:space="preserve"> to participate in </w:t>
      </w:r>
      <w:r w:rsidR="00777869">
        <w:rPr>
          <w:rFonts w:ascii="Arial" w:hAnsi="Arial" w:cs="Arial"/>
        </w:rPr>
        <w:t>decarbonization efforts.</w:t>
      </w:r>
    </w:p>
    <w:p w14:paraId="6D18F365" w14:textId="77777777" w:rsidR="005D4057" w:rsidRPr="005F7812" w:rsidRDefault="005D4057" w:rsidP="005D4057">
      <w:pPr>
        <w:pStyle w:val="ListParagraph"/>
        <w:numPr>
          <w:ilvl w:val="0"/>
          <w:numId w:val="1"/>
        </w:numPr>
        <w:rPr>
          <w:rFonts w:ascii="Arial" w:hAnsi="Arial" w:cs="Arial"/>
          <w:b/>
          <w:bCs/>
        </w:rPr>
      </w:pPr>
      <w:r w:rsidRPr="005F7812">
        <w:rPr>
          <w:rFonts w:ascii="Arial" w:hAnsi="Arial" w:cs="Arial"/>
          <w:b/>
          <w:bCs/>
        </w:rPr>
        <w:t>Community Resilience</w:t>
      </w:r>
    </w:p>
    <w:p w14:paraId="713E59EF"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 xml:space="preserve">Advocate for and </w:t>
      </w:r>
      <w:r w:rsidR="00027387" w:rsidRPr="005F7812">
        <w:rPr>
          <w:rFonts w:ascii="Arial" w:hAnsi="Arial" w:cs="Arial"/>
        </w:rPr>
        <w:t>s</w:t>
      </w:r>
      <w:r w:rsidRPr="005F7812">
        <w:rPr>
          <w:rFonts w:ascii="Arial" w:hAnsi="Arial" w:cs="Arial"/>
        </w:rPr>
        <w:t xml:space="preserve">upport funding for programs implemented by CCAs and their member jurisdictions to increase community resilience to wildfires, PSPS events and other potential service disruptions. </w:t>
      </w:r>
    </w:p>
    <w:p w14:paraId="000D1A7E"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 xml:space="preserve">Support legislation that reduces barriers to microgrid development by CCAs. </w:t>
      </w:r>
    </w:p>
    <w:p w14:paraId="11BE0036"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 xml:space="preserve">Oppose legislation that would enable IOUs to be the only developer of microgrids. </w:t>
      </w:r>
    </w:p>
    <w:p w14:paraId="411AC015"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Support legislation that increases development of community</w:t>
      </w:r>
      <w:r w:rsidR="00D668C1">
        <w:rPr>
          <w:rFonts w:ascii="Arial" w:hAnsi="Arial" w:cs="Arial"/>
        </w:rPr>
        <w:t>-</w:t>
      </w:r>
      <w:r w:rsidRPr="005F7812">
        <w:rPr>
          <w:rFonts w:ascii="Arial" w:hAnsi="Arial" w:cs="Arial"/>
        </w:rPr>
        <w:t xml:space="preserve">level resources and distributed energy resources </w:t>
      </w:r>
      <w:r w:rsidR="008F01FB">
        <w:rPr>
          <w:rFonts w:ascii="Arial" w:hAnsi="Arial" w:cs="Arial"/>
        </w:rPr>
        <w:t>that</w:t>
      </w:r>
      <w:r w:rsidR="00F76D94">
        <w:rPr>
          <w:rFonts w:ascii="Arial" w:hAnsi="Arial" w:cs="Arial"/>
        </w:rPr>
        <w:t xml:space="preserve"> increase resilience and</w:t>
      </w:r>
      <w:r w:rsidRPr="005F7812">
        <w:rPr>
          <w:rFonts w:ascii="Arial" w:hAnsi="Arial" w:cs="Arial"/>
        </w:rPr>
        <w:t xml:space="preserve"> reduce the need for new transmission and distribution infrastructure. </w:t>
      </w:r>
    </w:p>
    <w:p w14:paraId="3A47AA0F" w14:textId="77777777" w:rsidR="005F7812" w:rsidRPr="005F7812" w:rsidRDefault="005F7812" w:rsidP="005F7812">
      <w:pPr>
        <w:pStyle w:val="ListParagraph"/>
        <w:numPr>
          <w:ilvl w:val="0"/>
          <w:numId w:val="1"/>
        </w:numPr>
        <w:rPr>
          <w:rFonts w:ascii="Arial" w:hAnsi="Arial" w:cs="Arial"/>
          <w:b/>
          <w:bCs/>
        </w:rPr>
      </w:pPr>
      <w:r w:rsidRPr="005F7812">
        <w:rPr>
          <w:rFonts w:ascii="Arial" w:hAnsi="Arial" w:cs="Arial"/>
          <w:b/>
          <w:bCs/>
        </w:rPr>
        <w:t>Local Economic Development</w:t>
      </w:r>
    </w:p>
    <w:p w14:paraId="6A53CD33"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Support legislation that is consistent with PCE’s commitment to a sustainable workforce</w:t>
      </w:r>
      <w:r w:rsidR="00D668C1">
        <w:rPr>
          <w:rFonts w:ascii="Arial" w:hAnsi="Arial" w:cs="Arial"/>
        </w:rPr>
        <w:t>.</w:t>
      </w:r>
    </w:p>
    <w:p w14:paraId="2BF40FDF" w14:textId="3561FFC1" w:rsidR="005F7812" w:rsidRPr="005F7812" w:rsidRDefault="005F7812" w:rsidP="005F7812">
      <w:pPr>
        <w:pStyle w:val="NormalWeb"/>
        <w:numPr>
          <w:ilvl w:val="1"/>
          <w:numId w:val="1"/>
        </w:numPr>
        <w:rPr>
          <w:rFonts w:ascii="Arial" w:hAnsi="Arial" w:cs="Arial"/>
        </w:rPr>
      </w:pPr>
      <w:r w:rsidRPr="005F7812">
        <w:rPr>
          <w:rFonts w:ascii="Arial" w:hAnsi="Arial" w:cs="Arial"/>
        </w:rPr>
        <w:t xml:space="preserve">Support legislation that enhances opportunities for CCAs to promote local economic development through locally designed programs that meet the unique needs of </w:t>
      </w:r>
      <w:r w:rsidR="008606D8">
        <w:rPr>
          <w:rFonts w:ascii="Arial" w:hAnsi="Arial" w:cs="Arial"/>
        </w:rPr>
        <w:t>their</w:t>
      </w:r>
      <w:r w:rsidR="008606D8" w:rsidRPr="005F7812">
        <w:rPr>
          <w:rFonts w:ascii="Arial" w:hAnsi="Arial" w:cs="Arial"/>
        </w:rPr>
        <w:t xml:space="preserve"> </w:t>
      </w:r>
      <w:r w:rsidRPr="005F7812">
        <w:rPr>
          <w:rFonts w:ascii="Arial" w:hAnsi="Arial" w:cs="Arial"/>
        </w:rPr>
        <w:t>member agencies</w:t>
      </w:r>
      <w:r w:rsidR="00D668C1">
        <w:rPr>
          <w:rFonts w:ascii="Arial" w:hAnsi="Arial" w:cs="Arial"/>
        </w:rPr>
        <w:t>, communities,</w:t>
      </w:r>
      <w:r w:rsidRPr="005F7812">
        <w:rPr>
          <w:rFonts w:ascii="Arial" w:hAnsi="Arial" w:cs="Arial"/>
        </w:rPr>
        <w:t xml:space="preserve"> and customers. </w:t>
      </w:r>
    </w:p>
    <w:p w14:paraId="4D119888"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lastRenderedPageBreak/>
        <w:t xml:space="preserve">Support efforts to enhance development of local and regional sources of renewable energy. </w:t>
      </w:r>
    </w:p>
    <w:p w14:paraId="37156DED"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Support legislation that enables CCAs to collaborate with their member jurisdictions on local energy resources and projects to advance environmental objectives.</w:t>
      </w:r>
    </w:p>
    <w:p w14:paraId="4C26F2BE" w14:textId="77777777" w:rsidR="005F7812" w:rsidRPr="005F7812" w:rsidRDefault="005F7812" w:rsidP="005F7812">
      <w:pPr>
        <w:pStyle w:val="NormalWeb"/>
        <w:numPr>
          <w:ilvl w:val="1"/>
          <w:numId w:val="1"/>
        </w:numPr>
        <w:rPr>
          <w:rFonts w:ascii="Arial" w:hAnsi="Arial" w:cs="Arial"/>
        </w:rPr>
      </w:pPr>
      <w:r w:rsidRPr="005F7812">
        <w:rPr>
          <w:rFonts w:ascii="Arial" w:hAnsi="Arial" w:cs="Arial"/>
        </w:rPr>
        <w:t xml:space="preserve">Advocate for and support efforts to direct federal economic stimulus/recovery funding to CCAs to deliver local </w:t>
      </w:r>
      <w:r w:rsidR="00D668C1">
        <w:rPr>
          <w:rFonts w:ascii="Arial" w:hAnsi="Arial" w:cs="Arial"/>
        </w:rPr>
        <w:t>energy resources and projects</w:t>
      </w:r>
      <w:r w:rsidRPr="005F7812">
        <w:rPr>
          <w:rFonts w:ascii="Arial" w:hAnsi="Arial" w:cs="Arial"/>
        </w:rPr>
        <w:t>, as appropriate.</w:t>
      </w:r>
    </w:p>
    <w:p w14:paraId="0D3B2E1B" w14:textId="77777777" w:rsidR="005D4057" w:rsidRPr="005F7812" w:rsidRDefault="005D4057" w:rsidP="005D4057">
      <w:pPr>
        <w:pStyle w:val="ListParagraph"/>
        <w:numPr>
          <w:ilvl w:val="0"/>
          <w:numId w:val="1"/>
        </w:numPr>
        <w:rPr>
          <w:rFonts w:ascii="Arial" w:hAnsi="Arial" w:cs="Arial"/>
          <w:b/>
          <w:bCs/>
        </w:rPr>
      </w:pPr>
      <w:r w:rsidRPr="005F7812">
        <w:rPr>
          <w:rFonts w:ascii="Arial" w:hAnsi="Arial" w:cs="Arial"/>
          <w:b/>
          <w:bCs/>
        </w:rPr>
        <w:t>California Energy Market Structure</w:t>
      </w:r>
    </w:p>
    <w:p w14:paraId="3264756F" w14:textId="77777777" w:rsidR="005D4057" w:rsidRPr="005F7812" w:rsidRDefault="005D4057" w:rsidP="005D4057">
      <w:pPr>
        <w:pStyle w:val="NormalWeb"/>
        <w:numPr>
          <w:ilvl w:val="1"/>
          <w:numId w:val="1"/>
        </w:numPr>
        <w:rPr>
          <w:rFonts w:ascii="Arial" w:hAnsi="Arial" w:cs="Arial"/>
        </w:rPr>
      </w:pPr>
      <w:r w:rsidRPr="005F7812">
        <w:rPr>
          <w:rFonts w:ascii="Arial" w:hAnsi="Arial" w:cs="Arial"/>
        </w:rPr>
        <w:t xml:space="preserve">Oppose legislation that expands direct access or the ability or economic incentives for electric service providers to selectively recruit CCA or IOU customers. </w:t>
      </w:r>
    </w:p>
    <w:p w14:paraId="52FA02EF" w14:textId="77777777" w:rsidR="00996D57" w:rsidRDefault="005D4057" w:rsidP="00996D57">
      <w:pPr>
        <w:pStyle w:val="NormalWeb"/>
        <w:numPr>
          <w:ilvl w:val="1"/>
          <w:numId w:val="1"/>
        </w:numPr>
        <w:rPr>
          <w:rFonts w:ascii="Arial" w:hAnsi="Arial" w:cs="Arial"/>
        </w:rPr>
      </w:pPr>
      <w:r w:rsidRPr="005F7812">
        <w:rPr>
          <w:rFonts w:ascii="Arial" w:hAnsi="Arial" w:cs="Arial"/>
        </w:rPr>
        <w:t xml:space="preserve">Support legislation that would create renewable content and environmental standards for electric service providers to match the products offered by CCAs. </w:t>
      </w:r>
    </w:p>
    <w:p w14:paraId="5C4F5BF8" w14:textId="77777777" w:rsidR="00D668C1" w:rsidRPr="005F7812" w:rsidRDefault="00D668C1" w:rsidP="00996D57">
      <w:pPr>
        <w:pStyle w:val="NormalWeb"/>
        <w:numPr>
          <w:ilvl w:val="1"/>
          <w:numId w:val="1"/>
        </w:numPr>
        <w:rPr>
          <w:rFonts w:ascii="Arial" w:hAnsi="Arial" w:cs="Arial"/>
        </w:rPr>
      </w:pPr>
      <w:r>
        <w:rPr>
          <w:rFonts w:ascii="Arial" w:hAnsi="Arial" w:cs="Arial"/>
        </w:rPr>
        <w:t xml:space="preserve">Support legislation that </w:t>
      </w:r>
      <w:r w:rsidR="008F01FB">
        <w:rPr>
          <w:rFonts w:ascii="Arial" w:hAnsi="Arial" w:cs="Arial"/>
        </w:rPr>
        <w:t>changes California’s market structures towards innovative models that reduce costs of energy service and supports the expansion of carbon-free resources.</w:t>
      </w:r>
    </w:p>
    <w:sectPr w:rsidR="00D668C1" w:rsidRPr="005F7812" w:rsidSect="009B6D60">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B393" w14:textId="77777777" w:rsidR="009D6931" w:rsidRDefault="009D6931" w:rsidP="00996D57">
      <w:r>
        <w:separator/>
      </w:r>
    </w:p>
  </w:endnote>
  <w:endnote w:type="continuationSeparator" w:id="0">
    <w:p w14:paraId="3B451794" w14:textId="77777777" w:rsidR="009D6931" w:rsidRDefault="009D6931" w:rsidP="0099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8764725"/>
      <w:docPartObj>
        <w:docPartGallery w:val="Page Numbers (Bottom of Page)"/>
        <w:docPartUnique/>
      </w:docPartObj>
    </w:sdtPr>
    <w:sdtEndPr>
      <w:rPr>
        <w:rStyle w:val="PageNumber"/>
      </w:rPr>
    </w:sdtEndPr>
    <w:sdtContent>
      <w:p w14:paraId="6FBFD6F5" w14:textId="77777777" w:rsidR="00C04781" w:rsidRDefault="0068470B" w:rsidP="00C04781">
        <w:pPr>
          <w:pStyle w:val="Footer"/>
          <w:framePr w:wrap="none" w:vAnchor="text" w:hAnchor="margin" w:xAlign="right" w:y="1"/>
          <w:rPr>
            <w:rStyle w:val="PageNumber"/>
          </w:rPr>
        </w:pPr>
        <w:r>
          <w:rPr>
            <w:rStyle w:val="PageNumber"/>
          </w:rPr>
          <w:fldChar w:fldCharType="begin"/>
        </w:r>
        <w:r w:rsidR="00C04781">
          <w:rPr>
            <w:rStyle w:val="PageNumber"/>
          </w:rPr>
          <w:instrText xml:space="preserve"> PAGE </w:instrText>
        </w:r>
        <w:r>
          <w:rPr>
            <w:rStyle w:val="PageNumber"/>
          </w:rPr>
          <w:fldChar w:fldCharType="end"/>
        </w:r>
      </w:p>
    </w:sdtContent>
  </w:sdt>
  <w:p w14:paraId="2DA669F8" w14:textId="77777777" w:rsidR="00C04781" w:rsidRDefault="00C04781" w:rsidP="00996D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3898182"/>
      <w:docPartObj>
        <w:docPartGallery w:val="Page Numbers (Bottom of Page)"/>
        <w:docPartUnique/>
      </w:docPartObj>
    </w:sdtPr>
    <w:sdtEndPr>
      <w:rPr>
        <w:rStyle w:val="PageNumber"/>
      </w:rPr>
    </w:sdtEndPr>
    <w:sdtContent>
      <w:p w14:paraId="705A88C1" w14:textId="77777777" w:rsidR="00C04781" w:rsidRDefault="0068470B" w:rsidP="00C04781">
        <w:pPr>
          <w:pStyle w:val="Footer"/>
          <w:framePr w:wrap="none" w:vAnchor="text" w:hAnchor="margin" w:xAlign="right" w:y="1"/>
          <w:rPr>
            <w:rStyle w:val="PageNumber"/>
          </w:rPr>
        </w:pPr>
        <w:r>
          <w:rPr>
            <w:rStyle w:val="PageNumber"/>
          </w:rPr>
          <w:fldChar w:fldCharType="begin"/>
        </w:r>
        <w:r w:rsidR="00C04781">
          <w:rPr>
            <w:rStyle w:val="PageNumber"/>
          </w:rPr>
          <w:instrText xml:space="preserve"> PAGE </w:instrText>
        </w:r>
        <w:r>
          <w:rPr>
            <w:rStyle w:val="PageNumber"/>
          </w:rPr>
          <w:fldChar w:fldCharType="separate"/>
        </w:r>
        <w:r w:rsidR="008606D8">
          <w:rPr>
            <w:rStyle w:val="PageNumber"/>
            <w:noProof/>
          </w:rPr>
          <w:t>3</w:t>
        </w:r>
        <w:r>
          <w:rPr>
            <w:rStyle w:val="PageNumber"/>
          </w:rPr>
          <w:fldChar w:fldCharType="end"/>
        </w:r>
      </w:p>
    </w:sdtContent>
  </w:sdt>
  <w:p w14:paraId="5C3D591C" w14:textId="77777777" w:rsidR="00C04781" w:rsidRDefault="00C04781" w:rsidP="00996D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7328" w14:textId="77777777" w:rsidR="00BF3506" w:rsidRDefault="00BF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9DEC" w14:textId="77777777" w:rsidR="009D6931" w:rsidRDefault="009D6931" w:rsidP="00996D57">
      <w:r>
        <w:separator/>
      </w:r>
    </w:p>
  </w:footnote>
  <w:footnote w:type="continuationSeparator" w:id="0">
    <w:p w14:paraId="4D939989" w14:textId="77777777" w:rsidR="009D6931" w:rsidRDefault="009D6931" w:rsidP="0099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84B1" w14:textId="288C54B2" w:rsidR="00783C0D" w:rsidRDefault="0078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6AEB" w14:textId="2A99E68A" w:rsidR="00783C0D" w:rsidRDefault="00783C0D" w:rsidP="00D013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E659" w14:textId="7DC27841" w:rsidR="00783C0D" w:rsidRDefault="0078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FF2"/>
    <w:multiLevelType w:val="multilevel"/>
    <w:tmpl w:val="D8CA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E26C3"/>
    <w:multiLevelType w:val="multilevel"/>
    <w:tmpl w:val="A50E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B2885"/>
    <w:multiLevelType w:val="multilevel"/>
    <w:tmpl w:val="4A14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20182"/>
    <w:multiLevelType w:val="multilevel"/>
    <w:tmpl w:val="E840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A4AB2"/>
    <w:multiLevelType w:val="multilevel"/>
    <w:tmpl w:val="9E24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B92C11"/>
    <w:multiLevelType w:val="multilevel"/>
    <w:tmpl w:val="71D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831D09"/>
    <w:multiLevelType w:val="multilevel"/>
    <w:tmpl w:val="224A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728FA"/>
    <w:multiLevelType w:val="multilevel"/>
    <w:tmpl w:val="86A6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F12209"/>
    <w:multiLevelType w:val="hybridMultilevel"/>
    <w:tmpl w:val="FD38D15C"/>
    <w:lvl w:ilvl="0" w:tplc="E7AC43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74210"/>
    <w:multiLevelType w:val="multilevel"/>
    <w:tmpl w:val="4BE6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7"/>
  </w:num>
  <w:num w:numId="4">
    <w:abstractNumId w:val="3"/>
  </w:num>
  <w:num w:numId="5">
    <w:abstractNumId w:val="0"/>
  </w:num>
  <w:num w:numId="6">
    <w:abstractNumId w:val="1"/>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057"/>
    <w:rsid w:val="00027387"/>
    <w:rsid w:val="001753B9"/>
    <w:rsid w:val="001803F6"/>
    <w:rsid w:val="001B1758"/>
    <w:rsid w:val="001B28D5"/>
    <w:rsid w:val="00263DF1"/>
    <w:rsid w:val="00306074"/>
    <w:rsid w:val="00376890"/>
    <w:rsid w:val="00572886"/>
    <w:rsid w:val="005C79D6"/>
    <w:rsid w:val="005D4057"/>
    <w:rsid w:val="005F7812"/>
    <w:rsid w:val="006225C4"/>
    <w:rsid w:val="00683F6F"/>
    <w:rsid w:val="0068470B"/>
    <w:rsid w:val="006A4A4F"/>
    <w:rsid w:val="006B5F8C"/>
    <w:rsid w:val="00777869"/>
    <w:rsid w:val="00783C0D"/>
    <w:rsid w:val="00806254"/>
    <w:rsid w:val="0081502F"/>
    <w:rsid w:val="008606D8"/>
    <w:rsid w:val="00893250"/>
    <w:rsid w:val="008F01FB"/>
    <w:rsid w:val="009123E7"/>
    <w:rsid w:val="00996D57"/>
    <w:rsid w:val="009B6D60"/>
    <w:rsid w:val="009D6931"/>
    <w:rsid w:val="00AC7179"/>
    <w:rsid w:val="00B94445"/>
    <w:rsid w:val="00BA2C31"/>
    <w:rsid w:val="00BF191B"/>
    <w:rsid w:val="00BF3506"/>
    <w:rsid w:val="00C04781"/>
    <w:rsid w:val="00CA507C"/>
    <w:rsid w:val="00D013C6"/>
    <w:rsid w:val="00D633CD"/>
    <w:rsid w:val="00D668C1"/>
    <w:rsid w:val="00D95F3B"/>
    <w:rsid w:val="00E036BC"/>
    <w:rsid w:val="00E0411C"/>
    <w:rsid w:val="00E57ACE"/>
    <w:rsid w:val="00EA1EB1"/>
    <w:rsid w:val="00EA5F6A"/>
    <w:rsid w:val="00F76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98088"/>
  <w15:docId w15:val="{C1065F25-34D7-074A-87BC-022F800F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F7812"/>
    <w:rPr>
      <w:rFonts w:ascii="Times New Roman" w:hAnsi="Times New Roman" w:cs="Times New Roman"/>
      <w:sz w:val="18"/>
      <w:szCs w:val="18"/>
    </w:rPr>
  </w:style>
  <w:style w:type="character" w:customStyle="1" w:styleId="BalloonTextChar">
    <w:name w:val="Balloon Text Char"/>
    <w:basedOn w:val="DefaultParagraphFont"/>
    <w:uiPriority w:val="99"/>
    <w:semiHidden/>
    <w:rsid w:val="003928AB"/>
    <w:rPr>
      <w:rFonts w:ascii="Lucida Grande" w:hAnsi="Lucida Grande"/>
      <w:sz w:val="18"/>
      <w:szCs w:val="18"/>
    </w:rPr>
  </w:style>
  <w:style w:type="paragraph" w:styleId="ListParagraph">
    <w:name w:val="List Paragraph"/>
    <w:basedOn w:val="Normal"/>
    <w:uiPriority w:val="34"/>
    <w:qFormat/>
    <w:rsid w:val="005D4057"/>
    <w:pPr>
      <w:ind w:left="720"/>
      <w:contextualSpacing/>
    </w:pPr>
  </w:style>
  <w:style w:type="paragraph" w:styleId="NormalWeb">
    <w:name w:val="Normal (Web)"/>
    <w:basedOn w:val="Normal"/>
    <w:uiPriority w:val="99"/>
    <w:unhideWhenUsed/>
    <w:rsid w:val="005D40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96D57"/>
    <w:pPr>
      <w:tabs>
        <w:tab w:val="center" w:pos="4680"/>
        <w:tab w:val="right" w:pos="9360"/>
      </w:tabs>
    </w:pPr>
  </w:style>
  <w:style w:type="character" w:customStyle="1" w:styleId="FooterChar">
    <w:name w:val="Footer Char"/>
    <w:basedOn w:val="DefaultParagraphFont"/>
    <w:link w:val="Footer"/>
    <w:uiPriority w:val="99"/>
    <w:rsid w:val="00996D57"/>
  </w:style>
  <w:style w:type="character" w:styleId="PageNumber">
    <w:name w:val="page number"/>
    <w:basedOn w:val="DefaultParagraphFont"/>
    <w:uiPriority w:val="99"/>
    <w:semiHidden/>
    <w:unhideWhenUsed/>
    <w:rsid w:val="00996D57"/>
  </w:style>
  <w:style w:type="character" w:customStyle="1" w:styleId="BalloonTextChar1">
    <w:name w:val="Balloon Text Char1"/>
    <w:basedOn w:val="DefaultParagraphFont"/>
    <w:link w:val="BalloonText"/>
    <w:uiPriority w:val="99"/>
    <w:semiHidden/>
    <w:rsid w:val="005F7812"/>
    <w:rPr>
      <w:rFonts w:ascii="Times New Roman" w:hAnsi="Times New Roman" w:cs="Times New Roman"/>
      <w:sz w:val="18"/>
      <w:szCs w:val="18"/>
    </w:rPr>
  </w:style>
  <w:style w:type="paragraph" w:styleId="Header">
    <w:name w:val="header"/>
    <w:basedOn w:val="Normal"/>
    <w:link w:val="HeaderChar"/>
    <w:uiPriority w:val="99"/>
    <w:unhideWhenUsed/>
    <w:rsid w:val="00783C0D"/>
    <w:pPr>
      <w:tabs>
        <w:tab w:val="center" w:pos="4680"/>
        <w:tab w:val="right" w:pos="9360"/>
      </w:tabs>
    </w:pPr>
  </w:style>
  <w:style w:type="character" w:customStyle="1" w:styleId="HeaderChar">
    <w:name w:val="Header Char"/>
    <w:basedOn w:val="DefaultParagraphFont"/>
    <w:link w:val="Header"/>
    <w:uiPriority w:val="99"/>
    <w:rsid w:val="00783C0D"/>
  </w:style>
  <w:style w:type="character" w:styleId="CommentReference">
    <w:name w:val="annotation reference"/>
    <w:basedOn w:val="DefaultParagraphFont"/>
    <w:uiPriority w:val="99"/>
    <w:semiHidden/>
    <w:unhideWhenUsed/>
    <w:rsid w:val="006A4A4F"/>
    <w:rPr>
      <w:sz w:val="16"/>
      <w:szCs w:val="16"/>
    </w:rPr>
  </w:style>
  <w:style w:type="paragraph" w:styleId="CommentText">
    <w:name w:val="annotation text"/>
    <w:basedOn w:val="Normal"/>
    <w:link w:val="CommentTextChar"/>
    <w:uiPriority w:val="99"/>
    <w:semiHidden/>
    <w:unhideWhenUsed/>
    <w:rsid w:val="006A4A4F"/>
    <w:rPr>
      <w:sz w:val="20"/>
      <w:szCs w:val="20"/>
    </w:rPr>
  </w:style>
  <w:style w:type="character" w:customStyle="1" w:styleId="CommentTextChar">
    <w:name w:val="Comment Text Char"/>
    <w:basedOn w:val="DefaultParagraphFont"/>
    <w:link w:val="CommentText"/>
    <w:uiPriority w:val="99"/>
    <w:semiHidden/>
    <w:rsid w:val="006A4A4F"/>
    <w:rPr>
      <w:sz w:val="20"/>
      <w:szCs w:val="20"/>
    </w:rPr>
  </w:style>
  <w:style w:type="paragraph" w:styleId="CommentSubject">
    <w:name w:val="annotation subject"/>
    <w:basedOn w:val="CommentText"/>
    <w:next w:val="CommentText"/>
    <w:link w:val="CommentSubjectChar"/>
    <w:uiPriority w:val="99"/>
    <w:semiHidden/>
    <w:unhideWhenUsed/>
    <w:rsid w:val="006A4A4F"/>
    <w:rPr>
      <w:b/>
      <w:bCs/>
    </w:rPr>
  </w:style>
  <w:style w:type="character" w:customStyle="1" w:styleId="CommentSubjectChar">
    <w:name w:val="Comment Subject Char"/>
    <w:basedOn w:val="CommentTextChar"/>
    <w:link w:val="CommentSubject"/>
    <w:uiPriority w:val="99"/>
    <w:semiHidden/>
    <w:rsid w:val="006A4A4F"/>
    <w:rPr>
      <w:b/>
      <w:bCs/>
      <w:sz w:val="20"/>
      <w:szCs w:val="20"/>
    </w:rPr>
  </w:style>
  <w:style w:type="paragraph" w:styleId="Revision">
    <w:name w:val="Revision"/>
    <w:hidden/>
    <w:uiPriority w:val="99"/>
    <w:semiHidden/>
    <w:rsid w:val="00E0411C"/>
  </w:style>
  <w:style w:type="paragraph" w:styleId="BodyText">
    <w:name w:val="Body Text"/>
    <w:basedOn w:val="Normal"/>
    <w:link w:val="BodyTextChar"/>
    <w:uiPriority w:val="1"/>
    <w:qFormat/>
    <w:rsid w:val="009B6D60"/>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9B6D6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8924">
      <w:bodyDiv w:val="1"/>
      <w:marLeft w:val="0"/>
      <w:marRight w:val="0"/>
      <w:marTop w:val="0"/>
      <w:marBottom w:val="0"/>
      <w:divBdr>
        <w:top w:val="none" w:sz="0" w:space="0" w:color="auto"/>
        <w:left w:val="none" w:sz="0" w:space="0" w:color="auto"/>
        <w:bottom w:val="none" w:sz="0" w:space="0" w:color="auto"/>
        <w:right w:val="none" w:sz="0" w:space="0" w:color="auto"/>
      </w:divBdr>
      <w:divsChild>
        <w:div w:id="1510831025">
          <w:marLeft w:val="0"/>
          <w:marRight w:val="0"/>
          <w:marTop w:val="0"/>
          <w:marBottom w:val="0"/>
          <w:divBdr>
            <w:top w:val="none" w:sz="0" w:space="0" w:color="auto"/>
            <w:left w:val="none" w:sz="0" w:space="0" w:color="auto"/>
            <w:bottom w:val="none" w:sz="0" w:space="0" w:color="auto"/>
            <w:right w:val="none" w:sz="0" w:space="0" w:color="auto"/>
          </w:divBdr>
          <w:divsChild>
            <w:div w:id="231236170">
              <w:marLeft w:val="0"/>
              <w:marRight w:val="0"/>
              <w:marTop w:val="0"/>
              <w:marBottom w:val="0"/>
              <w:divBdr>
                <w:top w:val="none" w:sz="0" w:space="0" w:color="auto"/>
                <w:left w:val="none" w:sz="0" w:space="0" w:color="auto"/>
                <w:bottom w:val="none" w:sz="0" w:space="0" w:color="auto"/>
                <w:right w:val="none" w:sz="0" w:space="0" w:color="auto"/>
              </w:divBdr>
              <w:divsChild>
                <w:div w:id="1660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6116">
      <w:bodyDiv w:val="1"/>
      <w:marLeft w:val="0"/>
      <w:marRight w:val="0"/>
      <w:marTop w:val="0"/>
      <w:marBottom w:val="0"/>
      <w:divBdr>
        <w:top w:val="none" w:sz="0" w:space="0" w:color="auto"/>
        <w:left w:val="none" w:sz="0" w:space="0" w:color="auto"/>
        <w:bottom w:val="none" w:sz="0" w:space="0" w:color="auto"/>
        <w:right w:val="none" w:sz="0" w:space="0" w:color="auto"/>
      </w:divBdr>
      <w:divsChild>
        <w:div w:id="525682410">
          <w:marLeft w:val="0"/>
          <w:marRight w:val="0"/>
          <w:marTop w:val="0"/>
          <w:marBottom w:val="0"/>
          <w:divBdr>
            <w:top w:val="none" w:sz="0" w:space="0" w:color="auto"/>
            <w:left w:val="none" w:sz="0" w:space="0" w:color="auto"/>
            <w:bottom w:val="none" w:sz="0" w:space="0" w:color="auto"/>
            <w:right w:val="none" w:sz="0" w:space="0" w:color="auto"/>
          </w:divBdr>
          <w:divsChild>
            <w:div w:id="705906063">
              <w:marLeft w:val="0"/>
              <w:marRight w:val="0"/>
              <w:marTop w:val="0"/>
              <w:marBottom w:val="0"/>
              <w:divBdr>
                <w:top w:val="none" w:sz="0" w:space="0" w:color="auto"/>
                <w:left w:val="none" w:sz="0" w:space="0" w:color="auto"/>
                <w:bottom w:val="none" w:sz="0" w:space="0" w:color="auto"/>
                <w:right w:val="none" w:sz="0" w:space="0" w:color="auto"/>
              </w:divBdr>
              <w:divsChild>
                <w:div w:id="6369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3920">
      <w:bodyDiv w:val="1"/>
      <w:marLeft w:val="0"/>
      <w:marRight w:val="0"/>
      <w:marTop w:val="0"/>
      <w:marBottom w:val="0"/>
      <w:divBdr>
        <w:top w:val="none" w:sz="0" w:space="0" w:color="auto"/>
        <w:left w:val="none" w:sz="0" w:space="0" w:color="auto"/>
        <w:bottom w:val="none" w:sz="0" w:space="0" w:color="auto"/>
        <w:right w:val="none" w:sz="0" w:space="0" w:color="auto"/>
      </w:divBdr>
      <w:divsChild>
        <w:div w:id="488327314">
          <w:marLeft w:val="0"/>
          <w:marRight w:val="0"/>
          <w:marTop w:val="0"/>
          <w:marBottom w:val="0"/>
          <w:divBdr>
            <w:top w:val="none" w:sz="0" w:space="0" w:color="auto"/>
            <w:left w:val="none" w:sz="0" w:space="0" w:color="auto"/>
            <w:bottom w:val="none" w:sz="0" w:space="0" w:color="auto"/>
            <w:right w:val="none" w:sz="0" w:space="0" w:color="auto"/>
          </w:divBdr>
          <w:divsChild>
            <w:div w:id="1749038011">
              <w:marLeft w:val="0"/>
              <w:marRight w:val="0"/>
              <w:marTop w:val="0"/>
              <w:marBottom w:val="0"/>
              <w:divBdr>
                <w:top w:val="none" w:sz="0" w:space="0" w:color="auto"/>
                <w:left w:val="none" w:sz="0" w:space="0" w:color="auto"/>
                <w:bottom w:val="none" w:sz="0" w:space="0" w:color="auto"/>
                <w:right w:val="none" w:sz="0" w:space="0" w:color="auto"/>
              </w:divBdr>
              <w:divsChild>
                <w:div w:id="3643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0591">
      <w:bodyDiv w:val="1"/>
      <w:marLeft w:val="0"/>
      <w:marRight w:val="0"/>
      <w:marTop w:val="0"/>
      <w:marBottom w:val="0"/>
      <w:divBdr>
        <w:top w:val="none" w:sz="0" w:space="0" w:color="auto"/>
        <w:left w:val="none" w:sz="0" w:space="0" w:color="auto"/>
        <w:bottom w:val="none" w:sz="0" w:space="0" w:color="auto"/>
        <w:right w:val="none" w:sz="0" w:space="0" w:color="auto"/>
      </w:divBdr>
      <w:divsChild>
        <w:div w:id="495802692">
          <w:marLeft w:val="0"/>
          <w:marRight w:val="0"/>
          <w:marTop w:val="0"/>
          <w:marBottom w:val="0"/>
          <w:divBdr>
            <w:top w:val="none" w:sz="0" w:space="0" w:color="auto"/>
            <w:left w:val="none" w:sz="0" w:space="0" w:color="auto"/>
            <w:bottom w:val="none" w:sz="0" w:space="0" w:color="auto"/>
            <w:right w:val="none" w:sz="0" w:space="0" w:color="auto"/>
          </w:divBdr>
          <w:divsChild>
            <w:div w:id="982466882">
              <w:marLeft w:val="0"/>
              <w:marRight w:val="0"/>
              <w:marTop w:val="0"/>
              <w:marBottom w:val="0"/>
              <w:divBdr>
                <w:top w:val="none" w:sz="0" w:space="0" w:color="auto"/>
                <w:left w:val="none" w:sz="0" w:space="0" w:color="auto"/>
                <w:bottom w:val="none" w:sz="0" w:space="0" w:color="auto"/>
                <w:right w:val="none" w:sz="0" w:space="0" w:color="auto"/>
              </w:divBdr>
              <w:divsChild>
                <w:div w:id="13745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9986">
      <w:bodyDiv w:val="1"/>
      <w:marLeft w:val="0"/>
      <w:marRight w:val="0"/>
      <w:marTop w:val="0"/>
      <w:marBottom w:val="0"/>
      <w:divBdr>
        <w:top w:val="none" w:sz="0" w:space="0" w:color="auto"/>
        <w:left w:val="none" w:sz="0" w:space="0" w:color="auto"/>
        <w:bottom w:val="none" w:sz="0" w:space="0" w:color="auto"/>
        <w:right w:val="none" w:sz="0" w:space="0" w:color="auto"/>
      </w:divBdr>
      <w:divsChild>
        <w:div w:id="1490710624">
          <w:marLeft w:val="0"/>
          <w:marRight w:val="0"/>
          <w:marTop w:val="0"/>
          <w:marBottom w:val="0"/>
          <w:divBdr>
            <w:top w:val="none" w:sz="0" w:space="0" w:color="auto"/>
            <w:left w:val="none" w:sz="0" w:space="0" w:color="auto"/>
            <w:bottom w:val="none" w:sz="0" w:space="0" w:color="auto"/>
            <w:right w:val="none" w:sz="0" w:space="0" w:color="auto"/>
          </w:divBdr>
          <w:divsChild>
            <w:div w:id="1281767600">
              <w:marLeft w:val="0"/>
              <w:marRight w:val="0"/>
              <w:marTop w:val="0"/>
              <w:marBottom w:val="0"/>
              <w:divBdr>
                <w:top w:val="none" w:sz="0" w:space="0" w:color="auto"/>
                <w:left w:val="none" w:sz="0" w:space="0" w:color="auto"/>
                <w:bottom w:val="none" w:sz="0" w:space="0" w:color="auto"/>
                <w:right w:val="none" w:sz="0" w:space="0" w:color="auto"/>
              </w:divBdr>
              <w:divsChild>
                <w:div w:id="1018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5086">
      <w:bodyDiv w:val="1"/>
      <w:marLeft w:val="0"/>
      <w:marRight w:val="0"/>
      <w:marTop w:val="0"/>
      <w:marBottom w:val="0"/>
      <w:divBdr>
        <w:top w:val="none" w:sz="0" w:space="0" w:color="auto"/>
        <w:left w:val="none" w:sz="0" w:space="0" w:color="auto"/>
        <w:bottom w:val="none" w:sz="0" w:space="0" w:color="auto"/>
        <w:right w:val="none" w:sz="0" w:space="0" w:color="auto"/>
      </w:divBdr>
      <w:divsChild>
        <w:div w:id="1710568096">
          <w:marLeft w:val="0"/>
          <w:marRight w:val="0"/>
          <w:marTop w:val="0"/>
          <w:marBottom w:val="0"/>
          <w:divBdr>
            <w:top w:val="none" w:sz="0" w:space="0" w:color="auto"/>
            <w:left w:val="none" w:sz="0" w:space="0" w:color="auto"/>
            <w:bottom w:val="none" w:sz="0" w:space="0" w:color="auto"/>
            <w:right w:val="none" w:sz="0" w:space="0" w:color="auto"/>
          </w:divBdr>
          <w:divsChild>
            <w:div w:id="69423749">
              <w:marLeft w:val="0"/>
              <w:marRight w:val="0"/>
              <w:marTop w:val="0"/>
              <w:marBottom w:val="0"/>
              <w:divBdr>
                <w:top w:val="none" w:sz="0" w:space="0" w:color="auto"/>
                <w:left w:val="none" w:sz="0" w:space="0" w:color="auto"/>
                <w:bottom w:val="none" w:sz="0" w:space="0" w:color="auto"/>
                <w:right w:val="none" w:sz="0" w:space="0" w:color="auto"/>
              </w:divBdr>
              <w:divsChild>
                <w:div w:id="1301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2624">
      <w:bodyDiv w:val="1"/>
      <w:marLeft w:val="0"/>
      <w:marRight w:val="0"/>
      <w:marTop w:val="0"/>
      <w:marBottom w:val="0"/>
      <w:divBdr>
        <w:top w:val="none" w:sz="0" w:space="0" w:color="auto"/>
        <w:left w:val="none" w:sz="0" w:space="0" w:color="auto"/>
        <w:bottom w:val="none" w:sz="0" w:space="0" w:color="auto"/>
        <w:right w:val="none" w:sz="0" w:space="0" w:color="auto"/>
      </w:divBdr>
      <w:divsChild>
        <w:div w:id="1170413785">
          <w:marLeft w:val="0"/>
          <w:marRight w:val="0"/>
          <w:marTop w:val="0"/>
          <w:marBottom w:val="0"/>
          <w:divBdr>
            <w:top w:val="none" w:sz="0" w:space="0" w:color="auto"/>
            <w:left w:val="none" w:sz="0" w:space="0" w:color="auto"/>
            <w:bottom w:val="none" w:sz="0" w:space="0" w:color="auto"/>
            <w:right w:val="none" w:sz="0" w:space="0" w:color="auto"/>
          </w:divBdr>
          <w:divsChild>
            <w:div w:id="1042902399">
              <w:marLeft w:val="0"/>
              <w:marRight w:val="0"/>
              <w:marTop w:val="0"/>
              <w:marBottom w:val="0"/>
              <w:divBdr>
                <w:top w:val="none" w:sz="0" w:space="0" w:color="auto"/>
                <w:left w:val="none" w:sz="0" w:space="0" w:color="auto"/>
                <w:bottom w:val="none" w:sz="0" w:space="0" w:color="auto"/>
                <w:right w:val="none" w:sz="0" w:space="0" w:color="auto"/>
              </w:divBdr>
              <w:divsChild>
                <w:div w:id="19588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4170">
      <w:bodyDiv w:val="1"/>
      <w:marLeft w:val="0"/>
      <w:marRight w:val="0"/>
      <w:marTop w:val="0"/>
      <w:marBottom w:val="0"/>
      <w:divBdr>
        <w:top w:val="none" w:sz="0" w:space="0" w:color="auto"/>
        <w:left w:val="none" w:sz="0" w:space="0" w:color="auto"/>
        <w:bottom w:val="none" w:sz="0" w:space="0" w:color="auto"/>
        <w:right w:val="none" w:sz="0" w:space="0" w:color="auto"/>
      </w:divBdr>
      <w:divsChild>
        <w:div w:id="2123526905">
          <w:marLeft w:val="0"/>
          <w:marRight w:val="0"/>
          <w:marTop w:val="0"/>
          <w:marBottom w:val="0"/>
          <w:divBdr>
            <w:top w:val="none" w:sz="0" w:space="0" w:color="auto"/>
            <w:left w:val="none" w:sz="0" w:space="0" w:color="auto"/>
            <w:bottom w:val="none" w:sz="0" w:space="0" w:color="auto"/>
            <w:right w:val="none" w:sz="0" w:space="0" w:color="auto"/>
          </w:divBdr>
          <w:divsChild>
            <w:div w:id="1866482689">
              <w:marLeft w:val="0"/>
              <w:marRight w:val="0"/>
              <w:marTop w:val="0"/>
              <w:marBottom w:val="0"/>
              <w:divBdr>
                <w:top w:val="none" w:sz="0" w:space="0" w:color="auto"/>
                <w:left w:val="none" w:sz="0" w:space="0" w:color="auto"/>
                <w:bottom w:val="none" w:sz="0" w:space="0" w:color="auto"/>
                <w:right w:val="none" w:sz="0" w:space="0" w:color="auto"/>
              </w:divBdr>
              <w:divsChild>
                <w:div w:id="16164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7445">
      <w:bodyDiv w:val="1"/>
      <w:marLeft w:val="0"/>
      <w:marRight w:val="0"/>
      <w:marTop w:val="0"/>
      <w:marBottom w:val="0"/>
      <w:divBdr>
        <w:top w:val="none" w:sz="0" w:space="0" w:color="auto"/>
        <w:left w:val="none" w:sz="0" w:space="0" w:color="auto"/>
        <w:bottom w:val="none" w:sz="0" w:space="0" w:color="auto"/>
        <w:right w:val="none" w:sz="0" w:space="0" w:color="auto"/>
      </w:divBdr>
      <w:divsChild>
        <w:div w:id="2062361194">
          <w:marLeft w:val="0"/>
          <w:marRight w:val="0"/>
          <w:marTop w:val="0"/>
          <w:marBottom w:val="0"/>
          <w:divBdr>
            <w:top w:val="none" w:sz="0" w:space="0" w:color="auto"/>
            <w:left w:val="none" w:sz="0" w:space="0" w:color="auto"/>
            <w:bottom w:val="none" w:sz="0" w:space="0" w:color="auto"/>
            <w:right w:val="none" w:sz="0" w:space="0" w:color="auto"/>
          </w:divBdr>
          <w:divsChild>
            <w:div w:id="464929122">
              <w:marLeft w:val="0"/>
              <w:marRight w:val="0"/>
              <w:marTop w:val="0"/>
              <w:marBottom w:val="0"/>
              <w:divBdr>
                <w:top w:val="none" w:sz="0" w:space="0" w:color="auto"/>
                <w:left w:val="none" w:sz="0" w:space="0" w:color="auto"/>
                <w:bottom w:val="none" w:sz="0" w:space="0" w:color="auto"/>
                <w:right w:val="none" w:sz="0" w:space="0" w:color="auto"/>
              </w:divBdr>
              <w:divsChild>
                <w:div w:id="8229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1813">
      <w:bodyDiv w:val="1"/>
      <w:marLeft w:val="0"/>
      <w:marRight w:val="0"/>
      <w:marTop w:val="0"/>
      <w:marBottom w:val="0"/>
      <w:divBdr>
        <w:top w:val="none" w:sz="0" w:space="0" w:color="auto"/>
        <w:left w:val="none" w:sz="0" w:space="0" w:color="auto"/>
        <w:bottom w:val="none" w:sz="0" w:space="0" w:color="auto"/>
        <w:right w:val="none" w:sz="0" w:space="0" w:color="auto"/>
      </w:divBdr>
      <w:divsChild>
        <w:div w:id="55515611">
          <w:marLeft w:val="0"/>
          <w:marRight w:val="0"/>
          <w:marTop w:val="0"/>
          <w:marBottom w:val="0"/>
          <w:divBdr>
            <w:top w:val="none" w:sz="0" w:space="0" w:color="auto"/>
            <w:left w:val="none" w:sz="0" w:space="0" w:color="auto"/>
            <w:bottom w:val="none" w:sz="0" w:space="0" w:color="auto"/>
            <w:right w:val="none" w:sz="0" w:space="0" w:color="auto"/>
          </w:divBdr>
          <w:divsChild>
            <w:div w:id="1440442989">
              <w:marLeft w:val="0"/>
              <w:marRight w:val="0"/>
              <w:marTop w:val="0"/>
              <w:marBottom w:val="0"/>
              <w:divBdr>
                <w:top w:val="none" w:sz="0" w:space="0" w:color="auto"/>
                <w:left w:val="none" w:sz="0" w:space="0" w:color="auto"/>
                <w:bottom w:val="none" w:sz="0" w:space="0" w:color="auto"/>
                <w:right w:val="none" w:sz="0" w:space="0" w:color="auto"/>
              </w:divBdr>
              <w:divsChild>
                <w:div w:id="9120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 Wiedman</dc:creator>
  <cp:keywords/>
  <dc:description/>
  <cp:lastModifiedBy>Microsoft Office User</cp:lastModifiedBy>
  <cp:revision>5</cp:revision>
  <dcterms:created xsi:type="dcterms:W3CDTF">2021-02-18T22:03:00Z</dcterms:created>
  <dcterms:modified xsi:type="dcterms:W3CDTF">2021-03-11T23:54:00Z</dcterms:modified>
</cp:coreProperties>
</file>