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72952" w14:textId="5ED07BB0" w:rsidR="00821000" w:rsidRDefault="00821000" w:rsidP="00A55E90">
      <w:pPr>
        <w:jc w:val="center"/>
        <w:rPr>
          <w:b/>
          <w:bCs/>
        </w:rPr>
      </w:pPr>
      <w:r>
        <w:rPr>
          <w:b/>
          <w:bCs/>
        </w:rPr>
        <w:t>Peninsula Clean Energy</w:t>
      </w:r>
    </w:p>
    <w:p w14:paraId="0B7631CA" w14:textId="540EB51E" w:rsidR="00443654" w:rsidRPr="00A55E90" w:rsidRDefault="00821000" w:rsidP="00A55E90">
      <w:pPr>
        <w:jc w:val="center"/>
        <w:rPr>
          <w:b/>
          <w:bCs/>
        </w:rPr>
      </w:pPr>
      <w:r>
        <w:rPr>
          <w:b/>
          <w:bCs/>
        </w:rPr>
        <w:t>Public Facilities Solar and Solar + Storage RFP</w:t>
      </w:r>
    </w:p>
    <w:p w14:paraId="3D7BF34F" w14:textId="1FFC9C38" w:rsidR="00A55E90" w:rsidRDefault="00A55E90" w:rsidP="00A55E90">
      <w:pPr>
        <w:jc w:val="center"/>
        <w:rPr>
          <w:b/>
          <w:bCs/>
        </w:rPr>
      </w:pPr>
      <w:r w:rsidRPr="00A55E90">
        <w:rPr>
          <w:b/>
          <w:bCs/>
        </w:rPr>
        <w:t>Questions and Peninsula Clean Energy Responses</w:t>
      </w:r>
    </w:p>
    <w:p w14:paraId="712874DF" w14:textId="3818718B" w:rsidR="00821000" w:rsidRDefault="00821000" w:rsidP="00A55E90">
      <w:pPr>
        <w:jc w:val="center"/>
        <w:rPr>
          <w:b/>
          <w:bCs/>
        </w:rPr>
      </w:pPr>
    </w:p>
    <w:p w14:paraId="42DB18AD" w14:textId="77777777" w:rsidR="00DD5A48" w:rsidRDefault="00821000" w:rsidP="00A55E90">
      <w:pPr>
        <w:jc w:val="center"/>
      </w:pPr>
      <w:r w:rsidRPr="00821000">
        <w:t xml:space="preserve">PCEA will publish questions and answers on </w:t>
      </w:r>
      <w:r w:rsidR="00DD5A48">
        <w:t xml:space="preserve">a </w:t>
      </w:r>
      <w:r w:rsidRPr="00821000">
        <w:t xml:space="preserve">rolling basis throughout the RFP.  </w:t>
      </w:r>
    </w:p>
    <w:p w14:paraId="1CC8B5F1" w14:textId="057359D1" w:rsidR="00821000" w:rsidRDefault="004C1123" w:rsidP="00A55E90">
      <w:pPr>
        <w:jc w:val="center"/>
      </w:pPr>
      <w:r>
        <w:t>Interested parties</w:t>
      </w:r>
      <w:r w:rsidR="00821000" w:rsidRPr="00821000">
        <w:t xml:space="preserve"> are encouraged to check th</w:t>
      </w:r>
      <w:r>
        <w:t>is</w:t>
      </w:r>
      <w:r w:rsidR="00821000" w:rsidRPr="00821000">
        <w:t xml:space="preserve"> document</w:t>
      </w:r>
      <w:r>
        <w:t xml:space="preserve"> on the </w:t>
      </w:r>
      <w:hyperlink r:id="rId5" w:history="1">
        <w:r w:rsidRPr="004C1123">
          <w:rPr>
            <w:rStyle w:val="Hyperlink"/>
          </w:rPr>
          <w:t>RFP website</w:t>
        </w:r>
      </w:hyperlink>
      <w:r w:rsidR="00821000" w:rsidRPr="00821000">
        <w:t xml:space="preserve"> regularly for updates.  </w:t>
      </w:r>
    </w:p>
    <w:p w14:paraId="35495515" w14:textId="5951DC45" w:rsidR="00052BD2" w:rsidRDefault="00052BD2" w:rsidP="00A55E90">
      <w:pPr>
        <w:jc w:val="center"/>
      </w:pPr>
    </w:p>
    <w:p w14:paraId="347C3482" w14:textId="79139182" w:rsidR="00052BD2" w:rsidRPr="00052BD2" w:rsidRDefault="00052BD2" w:rsidP="00A55E90">
      <w:pPr>
        <w:jc w:val="center"/>
        <w:rPr>
          <w:b/>
          <w:bCs/>
        </w:rPr>
      </w:pPr>
      <w:r w:rsidRPr="00052BD2">
        <w:rPr>
          <w:b/>
          <w:bCs/>
        </w:rPr>
        <w:t>Please submit your Statement of Interest as soon as possible</w:t>
      </w:r>
      <w:r>
        <w:rPr>
          <w:b/>
          <w:bCs/>
        </w:rPr>
        <w:t xml:space="preserve">.  Deadline is 7/15.  </w:t>
      </w:r>
    </w:p>
    <w:p w14:paraId="2E7881B8" w14:textId="60152963" w:rsidR="00821000" w:rsidRDefault="00821000" w:rsidP="00A55E90">
      <w:pPr>
        <w:jc w:val="center"/>
      </w:pPr>
    </w:p>
    <w:p w14:paraId="26E1A7FD" w14:textId="6595EED1" w:rsidR="00821000" w:rsidRPr="00DD5A48" w:rsidRDefault="00821000" w:rsidP="00A55E90">
      <w:pPr>
        <w:jc w:val="center"/>
        <w:rPr>
          <w:b/>
          <w:bCs/>
        </w:rPr>
      </w:pPr>
      <w:r w:rsidRPr="00DD5A48">
        <w:rPr>
          <w:b/>
          <w:bCs/>
        </w:rPr>
        <w:t>Deadline for Questions is July 15, 2022</w:t>
      </w:r>
    </w:p>
    <w:p w14:paraId="43F7B04D" w14:textId="04FFD33C" w:rsidR="00821000" w:rsidRDefault="00821000" w:rsidP="00A55E90">
      <w:pPr>
        <w:jc w:val="center"/>
      </w:pPr>
      <w:r>
        <w:t xml:space="preserve">RFP Webinar:  June 28, 2022 </w:t>
      </w:r>
      <w:r w:rsidR="00D83819">
        <w:t>(completed)</w:t>
      </w:r>
    </w:p>
    <w:p w14:paraId="65575A25" w14:textId="0865F48E" w:rsidR="00D83819" w:rsidRPr="00821000" w:rsidRDefault="00D83819" w:rsidP="00A55E90">
      <w:pPr>
        <w:jc w:val="center"/>
      </w:pPr>
      <w:r>
        <w:t>See RFP website for link to slides and webinar recording</w:t>
      </w:r>
    </w:p>
    <w:p w14:paraId="012E270C" w14:textId="629C9E3F" w:rsidR="00A55E90" w:rsidRDefault="00A55E90" w:rsidP="00A55E90">
      <w:pPr>
        <w:jc w:val="center"/>
      </w:pPr>
    </w:p>
    <w:tbl>
      <w:tblPr>
        <w:tblStyle w:val="TableGrid"/>
        <w:tblW w:w="13045" w:type="dxa"/>
        <w:tblCellMar>
          <w:top w:w="43" w:type="dxa"/>
          <w:left w:w="72" w:type="dxa"/>
          <w:bottom w:w="43" w:type="dxa"/>
          <w:right w:w="72" w:type="dxa"/>
        </w:tblCellMar>
        <w:tblLook w:val="04A0" w:firstRow="1" w:lastRow="0" w:firstColumn="1" w:lastColumn="0" w:noHBand="0" w:noVBand="1"/>
      </w:tblPr>
      <w:tblGrid>
        <w:gridCol w:w="5395"/>
        <w:gridCol w:w="7650"/>
      </w:tblGrid>
      <w:tr w:rsidR="00653C10" w:rsidRPr="00A55E90" w14:paraId="119E34A8" w14:textId="77777777" w:rsidTr="00776044">
        <w:tc>
          <w:tcPr>
            <w:tcW w:w="5395" w:type="dxa"/>
          </w:tcPr>
          <w:p w14:paraId="0F3FD4B1" w14:textId="1D0E3F81" w:rsidR="00A55E90" w:rsidRPr="00A55E90" w:rsidRDefault="00A55E90" w:rsidP="00A55E90">
            <w:pPr>
              <w:jc w:val="center"/>
              <w:rPr>
                <w:b/>
                <w:bCs/>
              </w:rPr>
            </w:pPr>
            <w:r w:rsidRPr="00A55E90">
              <w:rPr>
                <w:b/>
                <w:bCs/>
              </w:rPr>
              <w:t>Submitted Question</w:t>
            </w:r>
          </w:p>
        </w:tc>
        <w:tc>
          <w:tcPr>
            <w:tcW w:w="7650" w:type="dxa"/>
          </w:tcPr>
          <w:p w14:paraId="1ECF4BDE" w14:textId="702E2C9E" w:rsidR="00A55E90" w:rsidRPr="00776044" w:rsidRDefault="00A55E90" w:rsidP="00A55E90">
            <w:pPr>
              <w:jc w:val="center"/>
              <w:rPr>
                <w:b/>
                <w:bCs/>
                <w:color w:val="4472C4" w:themeColor="accent1"/>
              </w:rPr>
            </w:pPr>
            <w:r w:rsidRPr="00776044">
              <w:rPr>
                <w:b/>
                <w:bCs/>
                <w:color w:val="4472C4" w:themeColor="accent1"/>
              </w:rPr>
              <w:t>Peninsula Clean Energy’s Response</w:t>
            </w:r>
          </w:p>
        </w:tc>
      </w:tr>
      <w:tr w:rsidR="00653C10" w14:paraId="4BDEF889" w14:textId="77777777" w:rsidTr="00776044">
        <w:trPr>
          <w:trHeight w:val="1008"/>
        </w:trPr>
        <w:tc>
          <w:tcPr>
            <w:tcW w:w="5395" w:type="dxa"/>
          </w:tcPr>
          <w:p w14:paraId="76145192" w14:textId="77777777" w:rsidR="00B44D29" w:rsidRDefault="00B44D29" w:rsidP="00776044">
            <w:pPr>
              <w:ind w:left="360"/>
              <w:rPr>
                <w:rFonts w:ascii="Calibri" w:hAnsi="Calibri" w:cs="Calibri"/>
                <w:color w:val="000000"/>
                <w:sz w:val="22"/>
                <w:szCs w:val="22"/>
              </w:rPr>
            </w:pPr>
            <w:r>
              <w:rPr>
                <w:rFonts w:ascii="Calibri" w:hAnsi="Calibri" w:cs="Calibri"/>
                <w:color w:val="000000"/>
                <w:sz w:val="22"/>
                <w:szCs w:val="22"/>
              </w:rPr>
              <w:t>Is there an anticipated operational scheme for storage, given backup needs, bill savings, etc.? And presumably, energy storage must have an inverter with grid-forming capabilities? </w:t>
            </w:r>
          </w:p>
          <w:p w14:paraId="7D56BC90" w14:textId="77777777" w:rsidR="00A55E90" w:rsidRPr="00776044" w:rsidRDefault="00A55E90" w:rsidP="00776044">
            <w:pPr>
              <w:rPr>
                <w:rFonts w:ascii="Calibri" w:hAnsi="Calibri" w:cs="Calibri"/>
                <w:color w:val="000000"/>
                <w:sz w:val="22"/>
                <w:szCs w:val="22"/>
              </w:rPr>
            </w:pPr>
          </w:p>
        </w:tc>
        <w:tc>
          <w:tcPr>
            <w:tcW w:w="7650" w:type="dxa"/>
          </w:tcPr>
          <w:p w14:paraId="0C3B3FB1" w14:textId="78E0C96C" w:rsidR="00B44D29" w:rsidRDefault="00B44D29" w:rsidP="00776044">
            <w:pPr>
              <w:ind w:left="360"/>
              <w:rPr>
                <w:rFonts w:ascii="Calibri" w:hAnsi="Calibri" w:cs="Calibri"/>
                <w:color w:val="4472C4" w:themeColor="accent1"/>
                <w:sz w:val="22"/>
                <w:szCs w:val="22"/>
              </w:rPr>
            </w:pPr>
            <w:r w:rsidRPr="00776044">
              <w:rPr>
                <w:rFonts w:ascii="Calibri" w:hAnsi="Calibri" w:cs="Calibri"/>
                <w:color w:val="4472C4" w:themeColor="accent1"/>
                <w:sz w:val="22"/>
                <w:szCs w:val="22"/>
              </w:rPr>
              <w:t xml:space="preserve">The battery’s primary design purpose is for backup power. The inverter needs to be capable of islanding facility loads.   </w:t>
            </w:r>
          </w:p>
          <w:p w14:paraId="629C21DA" w14:textId="77777777" w:rsidR="00776044" w:rsidRPr="00776044" w:rsidRDefault="00776044" w:rsidP="00776044">
            <w:pPr>
              <w:ind w:left="360"/>
              <w:rPr>
                <w:rFonts w:ascii="Calibri" w:hAnsi="Calibri" w:cs="Calibri"/>
                <w:color w:val="4472C4" w:themeColor="accent1"/>
                <w:sz w:val="22"/>
                <w:szCs w:val="22"/>
              </w:rPr>
            </w:pPr>
          </w:p>
          <w:p w14:paraId="1A441492" w14:textId="1AB242DB" w:rsidR="00B44D29" w:rsidRPr="00776044" w:rsidRDefault="00B44D29" w:rsidP="00776044">
            <w:pPr>
              <w:ind w:left="360"/>
              <w:rPr>
                <w:rFonts w:ascii="Calibri" w:hAnsi="Calibri" w:cs="Calibri"/>
                <w:color w:val="4472C4" w:themeColor="accent1"/>
                <w:sz w:val="22"/>
                <w:szCs w:val="22"/>
              </w:rPr>
            </w:pPr>
            <w:r w:rsidRPr="00776044">
              <w:rPr>
                <w:rFonts w:ascii="Calibri" w:hAnsi="Calibri" w:cs="Calibri"/>
                <w:color w:val="4472C4" w:themeColor="accent1"/>
                <w:sz w:val="22"/>
                <w:szCs w:val="22"/>
              </w:rPr>
              <w:t>We expect further iteration will be required with site hosts once we see pricing and they may choose to use the battery for economic purposes</w:t>
            </w:r>
            <w:r w:rsidR="00DF54FC" w:rsidRPr="00776044">
              <w:rPr>
                <w:rFonts w:ascii="Calibri" w:hAnsi="Calibri" w:cs="Calibri"/>
                <w:color w:val="4472C4" w:themeColor="accent1"/>
                <w:sz w:val="22"/>
                <w:szCs w:val="22"/>
              </w:rPr>
              <w:t xml:space="preserve"> to offset some of the costs, with potential trade-offs to backup power duration</w:t>
            </w:r>
            <w:r w:rsidR="009E7952">
              <w:rPr>
                <w:rFonts w:ascii="Calibri" w:hAnsi="Calibri" w:cs="Calibri"/>
                <w:color w:val="4472C4" w:themeColor="accent1"/>
                <w:sz w:val="22"/>
                <w:szCs w:val="22"/>
              </w:rPr>
              <w:t xml:space="preserve"> and system life</w:t>
            </w:r>
            <w:r w:rsidR="00DF54FC" w:rsidRPr="00776044">
              <w:rPr>
                <w:rFonts w:ascii="Calibri" w:hAnsi="Calibri" w:cs="Calibri"/>
                <w:color w:val="4472C4" w:themeColor="accent1"/>
                <w:sz w:val="22"/>
                <w:szCs w:val="22"/>
              </w:rPr>
              <w:t xml:space="preserve">.   </w:t>
            </w:r>
          </w:p>
          <w:p w14:paraId="038CCE9C" w14:textId="77777777" w:rsidR="00A55E90" w:rsidRPr="00776044" w:rsidRDefault="00A55E90" w:rsidP="00776044">
            <w:pPr>
              <w:ind w:left="360"/>
              <w:rPr>
                <w:rFonts w:ascii="Calibri" w:hAnsi="Calibri" w:cs="Calibri"/>
                <w:color w:val="4472C4" w:themeColor="accent1"/>
                <w:sz w:val="22"/>
                <w:szCs w:val="22"/>
              </w:rPr>
            </w:pPr>
          </w:p>
        </w:tc>
      </w:tr>
      <w:tr w:rsidR="00653C10" w14:paraId="3703A546" w14:textId="77777777" w:rsidTr="00776044">
        <w:trPr>
          <w:trHeight w:val="1008"/>
        </w:trPr>
        <w:tc>
          <w:tcPr>
            <w:tcW w:w="5395" w:type="dxa"/>
          </w:tcPr>
          <w:p w14:paraId="14E9D5F4" w14:textId="77777777" w:rsidR="00DF54FC" w:rsidRDefault="00DF54FC" w:rsidP="00776044">
            <w:pPr>
              <w:ind w:left="360"/>
              <w:rPr>
                <w:rFonts w:ascii="Calibri" w:hAnsi="Calibri" w:cs="Calibri"/>
                <w:color w:val="000000"/>
                <w:sz w:val="22"/>
                <w:szCs w:val="22"/>
              </w:rPr>
            </w:pPr>
            <w:r>
              <w:rPr>
                <w:rFonts w:ascii="Calibri" w:hAnsi="Calibri" w:cs="Calibri"/>
                <w:color w:val="000000"/>
                <w:sz w:val="22"/>
                <w:szCs w:val="22"/>
              </w:rPr>
              <w:t>On the EPC proposal. What is your expected O&amp;M term? </w:t>
            </w:r>
          </w:p>
          <w:p w14:paraId="43F16CA5" w14:textId="77777777" w:rsidR="00A55E90" w:rsidRPr="00776044" w:rsidRDefault="00A55E90" w:rsidP="00776044">
            <w:pPr>
              <w:ind w:left="360"/>
              <w:rPr>
                <w:rFonts w:ascii="Calibri" w:hAnsi="Calibri" w:cs="Calibri"/>
                <w:color w:val="000000"/>
                <w:sz w:val="22"/>
                <w:szCs w:val="22"/>
              </w:rPr>
            </w:pPr>
          </w:p>
        </w:tc>
        <w:tc>
          <w:tcPr>
            <w:tcW w:w="7650" w:type="dxa"/>
          </w:tcPr>
          <w:p w14:paraId="1FE1DDB8" w14:textId="3BB8A44B" w:rsidR="00A55E90" w:rsidRPr="00776044" w:rsidRDefault="00DF54FC" w:rsidP="00776044">
            <w:pPr>
              <w:ind w:left="360"/>
              <w:rPr>
                <w:rFonts w:ascii="Calibri" w:hAnsi="Calibri" w:cs="Calibri"/>
                <w:color w:val="4472C4" w:themeColor="accent1"/>
                <w:sz w:val="22"/>
                <w:szCs w:val="22"/>
              </w:rPr>
            </w:pPr>
            <w:r w:rsidRPr="00776044">
              <w:rPr>
                <w:rFonts w:ascii="Calibri" w:hAnsi="Calibri" w:cs="Calibri"/>
                <w:color w:val="4472C4" w:themeColor="accent1"/>
                <w:sz w:val="22"/>
                <w:szCs w:val="22"/>
              </w:rPr>
              <w:t xml:space="preserve">5-years required.  We are </w:t>
            </w:r>
            <w:proofErr w:type="gramStart"/>
            <w:r w:rsidR="009E7952">
              <w:rPr>
                <w:rFonts w:ascii="Calibri" w:hAnsi="Calibri" w:cs="Calibri"/>
                <w:color w:val="4472C4" w:themeColor="accent1"/>
                <w:sz w:val="22"/>
                <w:szCs w:val="22"/>
              </w:rPr>
              <w:t>ask</w:t>
            </w:r>
            <w:proofErr w:type="gramEnd"/>
            <w:r w:rsidR="009E7952">
              <w:rPr>
                <w:rFonts w:ascii="Calibri" w:hAnsi="Calibri" w:cs="Calibri"/>
                <w:color w:val="4472C4" w:themeColor="accent1"/>
                <w:sz w:val="22"/>
                <w:szCs w:val="22"/>
              </w:rPr>
              <w:t xml:space="preserve"> </w:t>
            </w:r>
            <w:r w:rsidRPr="00776044">
              <w:rPr>
                <w:rFonts w:ascii="Calibri" w:hAnsi="Calibri" w:cs="Calibri"/>
                <w:color w:val="4472C4" w:themeColor="accent1"/>
                <w:sz w:val="22"/>
                <w:szCs w:val="22"/>
              </w:rPr>
              <w:t>for proposals of 20 years if you can provide that.</w:t>
            </w:r>
          </w:p>
        </w:tc>
      </w:tr>
      <w:tr w:rsidR="00653C10" w14:paraId="7024E39C" w14:textId="77777777" w:rsidTr="00776044">
        <w:trPr>
          <w:trHeight w:val="1008"/>
        </w:trPr>
        <w:tc>
          <w:tcPr>
            <w:tcW w:w="5395" w:type="dxa"/>
          </w:tcPr>
          <w:p w14:paraId="28A892C8" w14:textId="3B56E073" w:rsidR="00DF54FC" w:rsidRDefault="00DF54FC" w:rsidP="00776044">
            <w:pPr>
              <w:ind w:left="360"/>
              <w:rPr>
                <w:rFonts w:ascii="Calibri" w:hAnsi="Calibri" w:cs="Calibri"/>
                <w:color w:val="000000"/>
                <w:sz w:val="22"/>
                <w:szCs w:val="22"/>
              </w:rPr>
            </w:pPr>
            <w:r>
              <w:rPr>
                <w:rFonts w:ascii="Calibri" w:hAnsi="Calibri" w:cs="Calibri"/>
                <w:color w:val="000000"/>
                <w:sz w:val="22"/>
                <w:szCs w:val="22"/>
              </w:rPr>
              <w:t>Do you need the replacement cost included in the [battery] proposal? </w:t>
            </w:r>
          </w:p>
          <w:p w14:paraId="21E84892" w14:textId="77777777" w:rsidR="00A55E90" w:rsidRPr="00776044" w:rsidRDefault="00A55E90" w:rsidP="00776044">
            <w:pPr>
              <w:ind w:left="360"/>
              <w:rPr>
                <w:rFonts w:ascii="Calibri" w:hAnsi="Calibri" w:cs="Calibri"/>
                <w:color w:val="000000"/>
                <w:sz w:val="22"/>
                <w:szCs w:val="22"/>
              </w:rPr>
            </w:pPr>
          </w:p>
        </w:tc>
        <w:tc>
          <w:tcPr>
            <w:tcW w:w="7650" w:type="dxa"/>
          </w:tcPr>
          <w:p w14:paraId="6734D038" w14:textId="3583A372" w:rsidR="00A55E90" w:rsidRPr="00776044" w:rsidRDefault="0004460F" w:rsidP="00776044">
            <w:pPr>
              <w:ind w:left="360"/>
              <w:rPr>
                <w:rFonts w:ascii="Calibri" w:hAnsi="Calibri" w:cs="Calibri"/>
                <w:color w:val="4472C4" w:themeColor="accent1"/>
                <w:sz w:val="22"/>
                <w:szCs w:val="22"/>
              </w:rPr>
            </w:pPr>
            <w:r w:rsidRPr="00776044">
              <w:rPr>
                <w:rFonts w:ascii="Calibri" w:hAnsi="Calibri" w:cs="Calibri"/>
                <w:color w:val="4472C4" w:themeColor="accent1"/>
                <w:sz w:val="22"/>
                <w:szCs w:val="22"/>
              </w:rPr>
              <w:t xml:space="preserve">We would like to see replacement </w:t>
            </w:r>
            <w:proofErr w:type="gramStart"/>
            <w:r w:rsidRPr="00776044">
              <w:rPr>
                <w:rFonts w:ascii="Calibri" w:hAnsi="Calibri" w:cs="Calibri"/>
                <w:color w:val="4472C4" w:themeColor="accent1"/>
                <w:sz w:val="22"/>
                <w:szCs w:val="22"/>
              </w:rPr>
              <w:t>costs</w:t>
            </w:r>
            <w:proofErr w:type="gramEnd"/>
            <w:r w:rsidRPr="00776044">
              <w:rPr>
                <w:rFonts w:ascii="Calibri" w:hAnsi="Calibri" w:cs="Calibri"/>
                <w:color w:val="4472C4" w:themeColor="accent1"/>
                <w:sz w:val="22"/>
                <w:szCs w:val="22"/>
              </w:rPr>
              <w:t xml:space="preserve"> but primary pricing is for the initial system without replacement</w:t>
            </w:r>
            <w:r w:rsidR="009E7952">
              <w:rPr>
                <w:rFonts w:ascii="Calibri" w:hAnsi="Calibri" w:cs="Calibri"/>
                <w:color w:val="4472C4" w:themeColor="accent1"/>
                <w:sz w:val="22"/>
                <w:szCs w:val="22"/>
              </w:rPr>
              <w:t>.</w:t>
            </w:r>
            <w:r w:rsidRPr="00776044">
              <w:rPr>
                <w:rFonts w:ascii="Calibri" w:hAnsi="Calibri" w:cs="Calibri"/>
                <w:color w:val="4472C4" w:themeColor="accent1"/>
                <w:sz w:val="22"/>
                <w:szCs w:val="22"/>
              </w:rPr>
              <w:t xml:space="preserve"> </w:t>
            </w:r>
          </w:p>
        </w:tc>
      </w:tr>
      <w:tr w:rsidR="00653C10" w14:paraId="5E4B5C47" w14:textId="77777777" w:rsidTr="00776044">
        <w:trPr>
          <w:trHeight w:val="1008"/>
        </w:trPr>
        <w:tc>
          <w:tcPr>
            <w:tcW w:w="5395" w:type="dxa"/>
          </w:tcPr>
          <w:p w14:paraId="2AF8A864" w14:textId="77777777" w:rsidR="0004460F" w:rsidRDefault="0004460F" w:rsidP="00776044">
            <w:pPr>
              <w:ind w:left="360"/>
              <w:rPr>
                <w:rFonts w:ascii="Calibri" w:hAnsi="Calibri" w:cs="Calibri"/>
                <w:color w:val="000000"/>
                <w:sz w:val="22"/>
                <w:szCs w:val="22"/>
              </w:rPr>
            </w:pPr>
            <w:r>
              <w:rPr>
                <w:rFonts w:ascii="Calibri" w:hAnsi="Calibri" w:cs="Calibri"/>
                <w:color w:val="000000"/>
                <w:sz w:val="22"/>
                <w:szCs w:val="22"/>
              </w:rPr>
              <w:lastRenderedPageBreak/>
              <w:t>Have you laid any groundwork on permitting or will that be entirely up to the winning installer?</w:t>
            </w:r>
          </w:p>
          <w:p w14:paraId="42DE9423" w14:textId="77777777" w:rsidR="00821000" w:rsidRPr="00776044" w:rsidRDefault="00821000" w:rsidP="00776044">
            <w:pPr>
              <w:ind w:left="360"/>
              <w:rPr>
                <w:rFonts w:ascii="Calibri" w:hAnsi="Calibri" w:cs="Calibri"/>
                <w:color w:val="000000"/>
                <w:sz w:val="22"/>
                <w:szCs w:val="22"/>
              </w:rPr>
            </w:pPr>
          </w:p>
        </w:tc>
        <w:tc>
          <w:tcPr>
            <w:tcW w:w="7650" w:type="dxa"/>
          </w:tcPr>
          <w:p w14:paraId="71E68172" w14:textId="4D0FF556" w:rsidR="0004460F" w:rsidRPr="00776044" w:rsidRDefault="0004460F" w:rsidP="00776044">
            <w:pPr>
              <w:ind w:left="360"/>
              <w:rPr>
                <w:rFonts w:ascii="Calibri" w:hAnsi="Calibri" w:cs="Calibri"/>
                <w:color w:val="4472C4" w:themeColor="accent1"/>
                <w:sz w:val="22"/>
                <w:szCs w:val="22"/>
              </w:rPr>
            </w:pPr>
            <w:r w:rsidRPr="00776044">
              <w:rPr>
                <w:rFonts w:ascii="Calibri" w:hAnsi="Calibri" w:cs="Calibri"/>
                <w:color w:val="4472C4" w:themeColor="accent1"/>
                <w:sz w:val="22"/>
                <w:szCs w:val="22"/>
              </w:rPr>
              <w:t xml:space="preserve">We have not done permitting work. That work should be part of </w:t>
            </w:r>
            <w:r w:rsidR="009E7952">
              <w:rPr>
                <w:rFonts w:ascii="Calibri" w:hAnsi="Calibri" w:cs="Calibri"/>
                <w:color w:val="4472C4" w:themeColor="accent1"/>
                <w:sz w:val="22"/>
                <w:szCs w:val="22"/>
              </w:rPr>
              <w:t>the selected firm’s</w:t>
            </w:r>
            <w:r w:rsidRPr="00776044">
              <w:rPr>
                <w:rFonts w:ascii="Calibri" w:hAnsi="Calibri" w:cs="Calibri"/>
                <w:color w:val="4472C4" w:themeColor="accent1"/>
                <w:sz w:val="22"/>
                <w:szCs w:val="22"/>
              </w:rPr>
              <w:t xml:space="preserve"> scope. </w:t>
            </w:r>
          </w:p>
          <w:p w14:paraId="6FE5CF37" w14:textId="77777777" w:rsidR="00821000" w:rsidRPr="00776044" w:rsidRDefault="00821000" w:rsidP="00776044">
            <w:pPr>
              <w:ind w:left="360"/>
              <w:rPr>
                <w:rFonts w:ascii="Calibri" w:hAnsi="Calibri" w:cs="Calibri"/>
                <w:color w:val="4472C4" w:themeColor="accent1"/>
                <w:sz w:val="22"/>
                <w:szCs w:val="22"/>
              </w:rPr>
            </w:pPr>
          </w:p>
        </w:tc>
      </w:tr>
      <w:tr w:rsidR="00653C10" w14:paraId="05D156A0" w14:textId="77777777" w:rsidTr="00776044">
        <w:trPr>
          <w:trHeight w:val="1008"/>
        </w:trPr>
        <w:tc>
          <w:tcPr>
            <w:tcW w:w="5395" w:type="dxa"/>
          </w:tcPr>
          <w:p w14:paraId="07E7E68C" w14:textId="77777777" w:rsidR="0004460F" w:rsidRDefault="0004460F" w:rsidP="00776044">
            <w:pPr>
              <w:ind w:left="360"/>
              <w:rPr>
                <w:rFonts w:ascii="Calibri" w:hAnsi="Calibri" w:cs="Calibri"/>
                <w:color w:val="000000"/>
                <w:sz w:val="22"/>
                <w:szCs w:val="22"/>
              </w:rPr>
            </w:pPr>
            <w:r>
              <w:rPr>
                <w:rFonts w:ascii="Calibri" w:hAnsi="Calibri" w:cs="Calibri"/>
                <w:color w:val="000000"/>
                <w:sz w:val="22"/>
                <w:szCs w:val="22"/>
              </w:rPr>
              <w:t>How is the performance guarantee determined?</w:t>
            </w:r>
          </w:p>
          <w:p w14:paraId="03A4C0F3" w14:textId="77777777" w:rsidR="00821000" w:rsidRPr="00776044" w:rsidRDefault="00821000" w:rsidP="00776044">
            <w:pPr>
              <w:ind w:left="360"/>
              <w:rPr>
                <w:rFonts w:ascii="Calibri" w:hAnsi="Calibri" w:cs="Calibri"/>
                <w:color w:val="000000"/>
                <w:sz w:val="22"/>
                <w:szCs w:val="22"/>
              </w:rPr>
            </w:pPr>
          </w:p>
        </w:tc>
        <w:tc>
          <w:tcPr>
            <w:tcW w:w="7650" w:type="dxa"/>
          </w:tcPr>
          <w:p w14:paraId="33A3E324" w14:textId="77777777" w:rsidR="0004460F" w:rsidRPr="00776044" w:rsidRDefault="0004460F" w:rsidP="00776044">
            <w:pPr>
              <w:ind w:left="360"/>
              <w:rPr>
                <w:rFonts w:ascii="Calibri" w:hAnsi="Calibri" w:cs="Calibri"/>
                <w:color w:val="4472C4" w:themeColor="accent1"/>
                <w:sz w:val="22"/>
                <w:szCs w:val="22"/>
              </w:rPr>
            </w:pPr>
            <w:r w:rsidRPr="00776044">
              <w:rPr>
                <w:rFonts w:ascii="Calibri" w:hAnsi="Calibri" w:cs="Calibri"/>
                <w:color w:val="4472C4" w:themeColor="accent1"/>
                <w:sz w:val="22"/>
                <w:szCs w:val="22"/>
              </w:rPr>
              <w:t xml:space="preserve">For PV, it is based on a specific percentage of the </w:t>
            </w:r>
            <w:proofErr w:type="spellStart"/>
            <w:r w:rsidRPr="00776044">
              <w:rPr>
                <w:rFonts w:ascii="Calibri" w:hAnsi="Calibri" w:cs="Calibri"/>
                <w:color w:val="4472C4" w:themeColor="accent1"/>
                <w:sz w:val="22"/>
                <w:szCs w:val="22"/>
              </w:rPr>
              <w:t>PVSyst</w:t>
            </w:r>
            <w:proofErr w:type="spellEnd"/>
            <w:r w:rsidRPr="00776044">
              <w:rPr>
                <w:rFonts w:ascii="Calibri" w:hAnsi="Calibri" w:cs="Calibri"/>
                <w:color w:val="4472C4" w:themeColor="accent1"/>
                <w:sz w:val="22"/>
                <w:szCs w:val="22"/>
              </w:rPr>
              <w:t xml:space="preserve"> output. For battery performance, bidders should propose a performance guarantee schema.</w:t>
            </w:r>
          </w:p>
          <w:p w14:paraId="628AE71E" w14:textId="77777777" w:rsidR="00821000" w:rsidRPr="00776044" w:rsidRDefault="00821000" w:rsidP="00776044">
            <w:pPr>
              <w:ind w:left="360"/>
              <w:rPr>
                <w:rFonts w:ascii="Calibri" w:hAnsi="Calibri" w:cs="Calibri"/>
                <w:color w:val="4472C4" w:themeColor="accent1"/>
                <w:sz w:val="22"/>
                <w:szCs w:val="22"/>
              </w:rPr>
            </w:pPr>
          </w:p>
        </w:tc>
      </w:tr>
      <w:tr w:rsidR="0004460F" w14:paraId="308F11E6" w14:textId="77777777" w:rsidTr="00776044">
        <w:trPr>
          <w:trHeight w:val="1008"/>
        </w:trPr>
        <w:tc>
          <w:tcPr>
            <w:tcW w:w="5395" w:type="dxa"/>
          </w:tcPr>
          <w:p w14:paraId="1CE88464" w14:textId="77777777" w:rsidR="0004460F" w:rsidRDefault="0004460F" w:rsidP="00776044">
            <w:pPr>
              <w:ind w:left="360"/>
              <w:rPr>
                <w:rFonts w:ascii="Calibri" w:hAnsi="Calibri" w:cs="Calibri"/>
                <w:color w:val="000000"/>
                <w:sz w:val="22"/>
                <w:szCs w:val="22"/>
              </w:rPr>
            </w:pPr>
            <w:r>
              <w:rPr>
                <w:rFonts w:ascii="Calibri" w:hAnsi="Calibri" w:cs="Calibri"/>
                <w:color w:val="000000"/>
                <w:sz w:val="22"/>
                <w:szCs w:val="22"/>
              </w:rPr>
              <w:t>What happens if the project costs are above the current electricity costs for the facility/city? Can that still be approved by City Manager?</w:t>
            </w:r>
          </w:p>
          <w:p w14:paraId="322D82C3" w14:textId="77777777" w:rsidR="0004460F" w:rsidRDefault="0004460F" w:rsidP="00776044">
            <w:pPr>
              <w:ind w:left="360"/>
              <w:rPr>
                <w:rFonts w:ascii="Calibri" w:hAnsi="Calibri" w:cs="Calibri"/>
                <w:color w:val="000000"/>
                <w:sz w:val="22"/>
                <w:szCs w:val="22"/>
              </w:rPr>
            </w:pPr>
          </w:p>
        </w:tc>
        <w:tc>
          <w:tcPr>
            <w:tcW w:w="7650" w:type="dxa"/>
          </w:tcPr>
          <w:p w14:paraId="16FE3049" w14:textId="37E7F9BB" w:rsidR="0004460F" w:rsidRPr="00776044" w:rsidRDefault="0004460F" w:rsidP="00776044">
            <w:pPr>
              <w:ind w:left="360"/>
              <w:rPr>
                <w:rFonts w:ascii="Calibri" w:hAnsi="Calibri" w:cs="Calibri"/>
                <w:color w:val="4472C4" w:themeColor="accent1"/>
                <w:sz w:val="22"/>
                <w:szCs w:val="22"/>
              </w:rPr>
            </w:pPr>
            <w:r w:rsidRPr="00776044">
              <w:rPr>
                <w:rFonts w:ascii="Calibri" w:hAnsi="Calibri" w:cs="Calibri"/>
                <w:color w:val="4472C4" w:themeColor="accent1"/>
                <w:sz w:val="22"/>
                <w:szCs w:val="22"/>
              </w:rPr>
              <w:t xml:space="preserve">We have communicated with all cities the value of a solar PPA as a hedge against rising utility rates, and see that as a major value, however we are </w:t>
            </w:r>
            <w:r w:rsidR="00776044" w:rsidRPr="00776044">
              <w:rPr>
                <w:rFonts w:ascii="Calibri" w:hAnsi="Calibri" w:cs="Calibri"/>
                <w:color w:val="4472C4" w:themeColor="accent1"/>
                <w:sz w:val="22"/>
                <w:szCs w:val="22"/>
              </w:rPr>
              <w:t xml:space="preserve">certainly </w:t>
            </w:r>
            <w:r w:rsidRPr="00776044">
              <w:rPr>
                <w:rFonts w:ascii="Calibri" w:hAnsi="Calibri" w:cs="Calibri"/>
                <w:color w:val="4472C4" w:themeColor="accent1"/>
                <w:sz w:val="22"/>
                <w:szCs w:val="22"/>
              </w:rPr>
              <w:t xml:space="preserve">targeting a lower PPA rate than their Year 1 electricity cost.   It is ultimately up to each city manager to </w:t>
            </w:r>
            <w:proofErr w:type="gramStart"/>
            <w:r w:rsidRPr="00776044">
              <w:rPr>
                <w:rFonts w:ascii="Calibri" w:hAnsi="Calibri" w:cs="Calibri"/>
                <w:color w:val="4472C4" w:themeColor="accent1"/>
                <w:sz w:val="22"/>
                <w:szCs w:val="22"/>
              </w:rPr>
              <w:t>make a determination</w:t>
            </w:r>
            <w:proofErr w:type="gramEnd"/>
            <w:r w:rsidRPr="00776044">
              <w:rPr>
                <w:rFonts w:ascii="Calibri" w:hAnsi="Calibri" w:cs="Calibri"/>
                <w:color w:val="4472C4" w:themeColor="accent1"/>
                <w:sz w:val="22"/>
                <w:szCs w:val="22"/>
              </w:rPr>
              <w:t xml:space="preserve"> of net financial benefit to the city.  </w:t>
            </w:r>
          </w:p>
        </w:tc>
      </w:tr>
      <w:tr w:rsidR="000A77A8" w14:paraId="0196201A" w14:textId="77777777" w:rsidTr="00776044">
        <w:trPr>
          <w:trHeight w:val="1008"/>
        </w:trPr>
        <w:tc>
          <w:tcPr>
            <w:tcW w:w="5395" w:type="dxa"/>
          </w:tcPr>
          <w:p w14:paraId="54AB254F" w14:textId="77777777" w:rsidR="000A77A8" w:rsidRPr="000A77A8" w:rsidRDefault="000A77A8" w:rsidP="000A77A8">
            <w:pPr>
              <w:ind w:left="360"/>
              <w:rPr>
                <w:rFonts w:ascii="Calibri" w:eastAsia="Times New Roman" w:hAnsi="Calibri" w:cs="Calibri"/>
                <w:color w:val="000000"/>
                <w:sz w:val="20"/>
                <w:szCs w:val="20"/>
              </w:rPr>
            </w:pPr>
            <w:r w:rsidRPr="000A77A8">
              <w:rPr>
                <w:rFonts w:ascii="Calibri" w:eastAsia="Times New Roman" w:hAnsi="Calibri" w:cs="Calibri"/>
                <w:color w:val="000000"/>
                <w:sz w:val="22"/>
                <w:szCs w:val="22"/>
              </w:rPr>
              <w:t xml:space="preserve">Does PCE require pricing for all </w:t>
            </w:r>
            <w:proofErr w:type="gramStart"/>
            <w:r w:rsidRPr="000A77A8">
              <w:rPr>
                <w:rFonts w:ascii="Calibri" w:eastAsia="Times New Roman" w:hAnsi="Calibri" w:cs="Calibri"/>
                <w:color w:val="000000"/>
                <w:sz w:val="22"/>
                <w:szCs w:val="22"/>
              </w:rPr>
              <w:t>sites</w:t>
            </w:r>
            <w:proofErr w:type="gramEnd"/>
            <w:r w:rsidRPr="000A77A8">
              <w:rPr>
                <w:rFonts w:ascii="Calibri" w:eastAsia="Times New Roman" w:hAnsi="Calibri" w:cs="Calibri"/>
                <w:color w:val="000000"/>
                <w:sz w:val="22"/>
                <w:szCs w:val="22"/>
              </w:rPr>
              <w:t xml:space="preserve"> or can the contractor be selective? (e.g., Are we required to price the Brisbane site given </w:t>
            </w:r>
            <w:proofErr w:type="gramStart"/>
            <w:r w:rsidRPr="000A77A8">
              <w:rPr>
                <w:rFonts w:ascii="Calibri" w:eastAsia="Times New Roman" w:hAnsi="Calibri" w:cs="Calibri"/>
                <w:color w:val="000000"/>
                <w:sz w:val="22"/>
                <w:szCs w:val="22"/>
              </w:rPr>
              <w:t>it’s</w:t>
            </w:r>
            <w:proofErr w:type="gramEnd"/>
            <w:r w:rsidRPr="000A77A8">
              <w:rPr>
                <w:rFonts w:ascii="Calibri" w:eastAsia="Times New Roman" w:hAnsi="Calibri" w:cs="Calibri"/>
                <w:color w:val="000000"/>
                <w:sz w:val="22"/>
                <w:szCs w:val="22"/>
              </w:rPr>
              <w:t xml:space="preserve"> small system size?)</w:t>
            </w:r>
          </w:p>
          <w:p w14:paraId="662B5CD5" w14:textId="77777777" w:rsidR="000A77A8" w:rsidRDefault="000A77A8" w:rsidP="00776044">
            <w:pPr>
              <w:ind w:left="360"/>
              <w:rPr>
                <w:rFonts w:ascii="Calibri" w:hAnsi="Calibri" w:cs="Calibri"/>
                <w:color w:val="000000"/>
                <w:sz w:val="22"/>
                <w:szCs w:val="22"/>
              </w:rPr>
            </w:pPr>
          </w:p>
        </w:tc>
        <w:tc>
          <w:tcPr>
            <w:tcW w:w="7650" w:type="dxa"/>
          </w:tcPr>
          <w:p w14:paraId="28954573" w14:textId="0DEA514C" w:rsidR="000A77A8" w:rsidRPr="00776044" w:rsidRDefault="000A77A8" w:rsidP="00776044">
            <w:pPr>
              <w:ind w:left="360"/>
              <w:rPr>
                <w:rFonts w:ascii="Calibri" w:hAnsi="Calibri" w:cs="Calibri"/>
                <w:color w:val="4472C4" w:themeColor="accent1"/>
                <w:sz w:val="22"/>
                <w:szCs w:val="22"/>
              </w:rPr>
            </w:pPr>
            <w:r w:rsidRPr="000A77A8">
              <w:rPr>
                <w:rFonts w:ascii="Calibri" w:hAnsi="Calibri" w:cs="Calibri"/>
                <w:color w:val="4472C4" w:themeColor="accent1"/>
                <w:sz w:val="22"/>
                <w:szCs w:val="22"/>
              </w:rPr>
              <w:t>Yes, pricing for and inclusion of all sites is required.  </w:t>
            </w:r>
          </w:p>
        </w:tc>
      </w:tr>
      <w:tr w:rsidR="000A77A8" w14:paraId="0B50A65D" w14:textId="77777777" w:rsidTr="00776044">
        <w:trPr>
          <w:trHeight w:val="1008"/>
        </w:trPr>
        <w:tc>
          <w:tcPr>
            <w:tcW w:w="5395" w:type="dxa"/>
          </w:tcPr>
          <w:p w14:paraId="2F8DFE47" w14:textId="77777777" w:rsidR="000A77A8" w:rsidRPr="000A77A8" w:rsidRDefault="000A77A8" w:rsidP="000A77A8">
            <w:pPr>
              <w:ind w:left="360"/>
              <w:rPr>
                <w:rFonts w:ascii="Calibri" w:eastAsia="Times New Roman" w:hAnsi="Calibri" w:cs="Calibri"/>
                <w:color w:val="000000"/>
                <w:sz w:val="20"/>
                <w:szCs w:val="20"/>
              </w:rPr>
            </w:pPr>
            <w:r w:rsidRPr="000A77A8">
              <w:rPr>
                <w:rFonts w:ascii="Calibri" w:eastAsia="Times New Roman" w:hAnsi="Calibri" w:cs="Calibri"/>
                <w:color w:val="000000"/>
                <w:sz w:val="22"/>
                <w:szCs w:val="22"/>
              </w:rPr>
              <w:t>Assuming this pilot program is successful with the selected contractor, will PCE utilize the same contractor for portfolio expansion and/or new portfolios? Or will another RFP process be run?</w:t>
            </w:r>
          </w:p>
          <w:p w14:paraId="7A4C1646" w14:textId="77777777" w:rsidR="000A77A8" w:rsidRPr="000A77A8" w:rsidRDefault="000A77A8" w:rsidP="000A77A8">
            <w:pPr>
              <w:ind w:left="360"/>
              <w:rPr>
                <w:rFonts w:ascii="Calibri" w:eastAsia="Times New Roman" w:hAnsi="Calibri" w:cs="Calibri"/>
                <w:color w:val="000000"/>
                <w:sz w:val="22"/>
                <w:szCs w:val="22"/>
              </w:rPr>
            </w:pPr>
          </w:p>
        </w:tc>
        <w:tc>
          <w:tcPr>
            <w:tcW w:w="7650" w:type="dxa"/>
          </w:tcPr>
          <w:p w14:paraId="53FF7C4E" w14:textId="1B1E7C75" w:rsidR="000A77A8" w:rsidRPr="000A77A8" w:rsidRDefault="000A77A8" w:rsidP="00776044">
            <w:pPr>
              <w:ind w:left="360"/>
              <w:rPr>
                <w:rFonts w:ascii="Calibri" w:hAnsi="Calibri" w:cs="Calibri"/>
                <w:color w:val="4472C4" w:themeColor="accent1"/>
                <w:sz w:val="22"/>
                <w:szCs w:val="22"/>
              </w:rPr>
            </w:pPr>
            <w:r w:rsidRPr="000A77A8">
              <w:rPr>
                <w:rFonts w:ascii="Calibri" w:hAnsi="Calibri" w:cs="Calibri"/>
                <w:color w:val="4472C4" w:themeColor="accent1"/>
                <w:sz w:val="22"/>
                <w:szCs w:val="22"/>
              </w:rPr>
              <w:t>Selection in this round of the program does not guarantee selection for future rounds.  A decision has not been made as to whether another RFP process would be run for a future round.</w:t>
            </w:r>
          </w:p>
        </w:tc>
      </w:tr>
      <w:tr w:rsidR="000A77A8" w14:paraId="52173624" w14:textId="77777777" w:rsidTr="00776044">
        <w:trPr>
          <w:trHeight w:val="1008"/>
        </w:trPr>
        <w:tc>
          <w:tcPr>
            <w:tcW w:w="5395" w:type="dxa"/>
          </w:tcPr>
          <w:p w14:paraId="395274C9" w14:textId="77777777" w:rsidR="000A77A8" w:rsidRPr="000A77A8" w:rsidRDefault="000A77A8" w:rsidP="000A77A8">
            <w:pPr>
              <w:ind w:left="360"/>
              <w:rPr>
                <w:rFonts w:ascii="Calibri" w:eastAsia="Times New Roman" w:hAnsi="Calibri" w:cs="Calibri"/>
                <w:color w:val="000000"/>
                <w:sz w:val="20"/>
                <w:szCs w:val="20"/>
              </w:rPr>
            </w:pPr>
            <w:r w:rsidRPr="000A77A8">
              <w:rPr>
                <w:rFonts w:ascii="Calibri" w:eastAsia="Times New Roman" w:hAnsi="Calibri" w:cs="Calibri"/>
                <w:color w:val="000000"/>
                <w:sz w:val="22"/>
                <w:szCs w:val="22"/>
              </w:rPr>
              <w:t>Does PCE want the batteries to be priced within the PPA rate or capacity payment OR can it be priced separately?</w:t>
            </w:r>
          </w:p>
          <w:p w14:paraId="1E02E6FD" w14:textId="77777777" w:rsidR="000A77A8" w:rsidRPr="000A77A8" w:rsidRDefault="000A77A8" w:rsidP="000A77A8">
            <w:pPr>
              <w:ind w:left="360"/>
              <w:rPr>
                <w:rFonts w:ascii="Calibri" w:eastAsia="Times New Roman" w:hAnsi="Calibri" w:cs="Calibri"/>
                <w:color w:val="000000"/>
                <w:sz w:val="22"/>
                <w:szCs w:val="22"/>
              </w:rPr>
            </w:pPr>
          </w:p>
        </w:tc>
        <w:tc>
          <w:tcPr>
            <w:tcW w:w="7650" w:type="dxa"/>
          </w:tcPr>
          <w:p w14:paraId="49510634" w14:textId="77777777" w:rsidR="000A77A8" w:rsidRPr="000A77A8" w:rsidRDefault="000A77A8" w:rsidP="000A77A8">
            <w:pPr>
              <w:ind w:left="360"/>
              <w:rPr>
                <w:rFonts w:ascii="Calibri" w:hAnsi="Calibri" w:cs="Calibri"/>
                <w:color w:val="4472C4" w:themeColor="accent1"/>
                <w:sz w:val="22"/>
                <w:szCs w:val="22"/>
              </w:rPr>
            </w:pPr>
            <w:r w:rsidRPr="000A77A8">
              <w:rPr>
                <w:rFonts w:ascii="Calibri" w:hAnsi="Calibri" w:cs="Calibri"/>
                <w:color w:val="4472C4" w:themeColor="accent1"/>
                <w:sz w:val="22"/>
                <w:szCs w:val="22"/>
              </w:rPr>
              <w:t>PCE Response:  We would prefer to see batteries priced both ways.  However, the requirement is that they be priced separately.</w:t>
            </w:r>
          </w:p>
          <w:p w14:paraId="7064477B" w14:textId="77777777" w:rsidR="000A77A8" w:rsidRPr="000A77A8" w:rsidRDefault="000A77A8" w:rsidP="000A77A8">
            <w:pPr>
              <w:ind w:left="360"/>
              <w:rPr>
                <w:rFonts w:ascii="Calibri" w:hAnsi="Calibri" w:cs="Calibri"/>
                <w:color w:val="4472C4" w:themeColor="accent1"/>
                <w:sz w:val="22"/>
                <w:szCs w:val="22"/>
              </w:rPr>
            </w:pPr>
          </w:p>
        </w:tc>
      </w:tr>
      <w:tr w:rsidR="000A77A8" w14:paraId="7270AE1A" w14:textId="77777777" w:rsidTr="00776044">
        <w:trPr>
          <w:trHeight w:val="1008"/>
        </w:trPr>
        <w:tc>
          <w:tcPr>
            <w:tcW w:w="5395" w:type="dxa"/>
          </w:tcPr>
          <w:p w14:paraId="67D3FFB3" w14:textId="77777777" w:rsidR="000A77A8" w:rsidRPr="000A77A8" w:rsidRDefault="000A77A8" w:rsidP="000A77A8">
            <w:pPr>
              <w:ind w:left="360"/>
              <w:rPr>
                <w:rFonts w:ascii="Calibri" w:eastAsia="Times New Roman" w:hAnsi="Calibri" w:cs="Calibri"/>
                <w:color w:val="000000"/>
                <w:sz w:val="20"/>
                <w:szCs w:val="20"/>
              </w:rPr>
            </w:pPr>
            <w:r w:rsidRPr="000A77A8">
              <w:rPr>
                <w:rFonts w:ascii="Calibri" w:eastAsia="Times New Roman" w:hAnsi="Calibri" w:cs="Calibri"/>
                <w:color w:val="000000"/>
                <w:sz w:val="22"/>
                <w:szCs w:val="22"/>
              </w:rPr>
              <w:t xml:space="preserve">The timeline for responding is </w:t>
            </w:r>
            <w:proofErr w:type="gramStart"/>
            <w:r w:rsidRPr="000A77A8">
              <w:rPr>
                <w:rFonts w:ascii="Calibri" w:eastAsia="Times New Roman" w:hAnsi="Calibri" w:cs="Calibri"/>
                <w:color w:val="000000"/>
                <w:sz w:val="22"/>
                <w:szCs w:val="22"/>
              </w:rPr>
              <w:t>fairly aggressive</w:t>
            </w:r>
            <w:proofErr w:type="gramEnd"/>
            <w:r w:rsidRPr="000A77A8">
              <w:rPr>
                <w:rFonts w:ascii="Calibri" w:eastAsia="Times New Roman" w:hAnsi="Calibri" w:cs="Calibri"/>
                <w:color w:val="000000"/>
                <w:sz w:val="22"/>
                <w:szCs w:val="22"/>
              </w:rPr>
              <w:t xml:space="preserve"> and with the current supply chain environment. Would PCE be willing to extend the proposal deadline to August 31</w:t>
            </w:r>
            <w:r w:rsidRPr="000A77A8">
              <w:rPr>
                <w:rFonts w:ascii="Calibri" w:eastAsia="Times New Roman" w:hAnsi="Calibri" w:cs="Calibri"/>
                <w:color w:val="000000"/>
                <w:sz w:val="22"/>
                <w:szCs w:val="22"/>
                <w:vertAlign w:val="superscript"/>
              </w:rPr>
              <w:t>st</w:t>
            </w:r>
            <w:r w:rsidRPr="000A77A8">
              <w:rPr>
                <w:rFonts w:ascii="Calibri" w:eastAsia="Times New Roman" w:hAnsi="Calibri" w:cs="Calibri"/>
                <w:color w:val="000000"/>
                <w:sz w:val="22"/>
                <w:szCs w:val="22"/>
              </w:rPr>
              <w:t>?</w:t>
            </w:r>
          </w:p>
          <w:p w14:paraId="6CA5A233" w14:textId="77777777" w:rsidR="000A77A8" w:rsidRPr="000A77A8" w:rsidRDefault="000A77A8" w:rsidP="000A77A8">
            <w:pPr>
              <w:ind w:left="360"/>
              <w:rPr>
                <w:rFonts w:ascii="Calibri" w:eastAsia="Times New Roman" w:hAnsi="Calibri" w:cs="Calibri"/>
                <w:color w:val="000000"/>
                <w:sz w:val="22"/>
                <w:szCs w:val="22"/>
              </w:rPr>
            </w:pPr>
          </w:p>
        </w:tc>
        <w:tc>
          <w:tcPr>
            <w:tcW w:w="7650" w:type="dxa"/>
          </w:tcPr>
          <w:p w14:paraId="095778BE" w14:textId="5D0C8A81" w:rsidR="000A77A8" w:rsidRDefault="000A77A8" w:rsidP="000A77A8">
            <w:pPr>
              <w:ind w:left="360"/>
              <w:rPr>
                <w:rFonts w:ascii="Calibri" w:hAnsi="Calibri" w:cs="Calibri"/>
                <w:color w:val="4472C4" w:themeColor="accent1"/>
                <w:sz w:val="22"/>
                <w:szCs w:val="22"/>
              </w:rPr>
            </w:pPr>
            <w:r w:rsidRPr="000A77A8">
              <w:rPr>
                <w:rFonts w:ascii="Calibri" w:hAnsi="Calibri" w:cs="Calibri"/>
                <w:color w:val="4472C4" w:themeColor="accent1"/>
                <w:sz w:val="22"/>
                <w:szCs w:val="22"/>
              </w:rPr>
              <w:t xml:space="preserve">Driving the deadline as we see it is ensuring that the projects are eligible for the 2022 ITC.   With the required time for reviewing submissions, contract negotiations, and approvals by both parties, that doesn’t seem </w:t>
            </w:r>
            <w:r w:rsidR="00AE6086">
              <w:rPr>
                <w:rFonts w:ascii="Calibri" w:hAnsi="Calibri" w:cs="Calibri"/>
                <w:color w:val="4472C4" w:themeColor="accent1"/>
                <w:sz w:val="22"/>
                <w:szCs w:val="22"/>
              </w:rPr>
              <w:t>realistic</w:t>
            </w:r>
            <w:r w:rsidRPr="000A77A8">
              <w:rPr>
                <w:rFonts w:ascii="Calibri" w:hAnsi="Calibri" w:cs="Calibri"/>
                <w:color w:val="4472C4" w:themeColor="accent1"/>
                <w:sz w:val="22"/>
                <w:szCs w:val="22"/>
              </w:rPr>
              <w:t xml:space="preserve"> if the RFP deadline is August 31. </w:t>
            </w:r>
            <w:r w:rsidR="00AE6086">
              <w:rPr>
                <w:rFonts w:ascii="Calibri" w:hAnsi="Calibri" w:cs="Calibri"/>
                <w:color w:val="4472C4" w:themeColor="accent1"/>
                <w:sz w:val="22"/>
                <w:szCs w:val="22"/>
              </w:rPr>
              <w:t xml:space="preserve"> </w:t>
            </w:r>
            <w:r w:rsidR="00AE6086" w:rsidRPr="00AE6086">
              <w:rPr>
                <w:rFonts w:ascii="Calibri" w:hAnsi="Calibri" w:cs="Calibri"/>
                <w:b/>
                <w:bCs/>
                <w:color w:val="4472C4" w:themeColor="accent1"/>
                <w:sz w:val="22"/>
                <w:szCs w:val="22"/>
              </w:rPr>
              <w:t xml:space="preserve">Again, we encourage all parties to submit a statement of interest as soon as possible to get qualified so you can review </w:t>
            </w:r>
            <w:r w:rsidR="00AE6086" w:rsidRPr="00AE6086">
              <w:rPr>
                <w:rFonts w:ascii="Calibri" w:hAnsi="Calibri" w:cs="Calibri"/>
                <w:b/>
                <w:bCs/>
                <w:color w:val="4472C4" w:themeColor="accent1"/>
                <w:sz w:val="22"/>
                <w:szCs w:val="22"/>
              </w:rPr>
              <w:lastRenderedPageBreak/>
              <w:t>the Project Packages</w:t>
            </w:r>
            <w:r w:rsidR="00AE6086">
              <w:rPr>
                <w:rFonts w:ascii="Calibri" w:hAnsi="Calibri" w:cs="Calibri"/>
                <w:b/>
                <w:bCs/>
                <w:color w:val="4472C4" w:themeColor="accent1"/>
                <w:sz w:val="22"/>
                <w:szCs w:val="22"/>
              </w:rPr>
              <w:t xml:space="preserve"> and have time to prepare your proposals prior to the RFP deadline</w:t>
            </w:r>
            <w:r w:rsidR="00AE6086" w:rsidRPr="00AE6086">
              <w:rPr>
                <w:rFonts w:ascii="Calibri" w:hAnsi="Calibri" w:cs="Calibri"/>
                <w:b/>
                <w:bCs/>
                <w:color w:val="4472C4" w:themeColor="accent1"/>
                <w:sz w:val="22"/>
                <w:szCs w:val="22"/>
              </w:rPr>
              <w:t xml:space="preserve">.  </w:t>
            </w:r>
          </w:p>
          <w:p w14:paraId="294C62A2" w14:textId="275880F2" w:rsidR="00AE6086" w:rsidRPr="000A77A8" w:rsidRDefault="00AE6086" w:rsidP="000A77A8">
            <w:pPr>
              <w:ind w:left="360"/>
              <w:rPr>
                <w:rFonts w:ascii="Calibri" w:hAnsi="Calibri" w:cs="Calibri"/>
                <w:color w:val="4472C4" w:themeColor="accent1"/>
                <w:sz w:val="22"/>
                <w:szCs w:val="22"/>
              </w:rPr>
            </w:pPr>
          </w:p>
        </w:tc>
      </w:tr>
      <w:tr w:rsidR="000A77A8" w14:paraId="543417E2" w14:textId="77777777" w:rsidTr="00776044">
        <w:trPr>
          <w:trHeight w:val="1008"/>
        </w:trPr>
        <w:tc>
          <w:tcPr>
            <w:tcW w:w="5395" w:type="dxa"/>
          </w:tcPr>
          <w:p w14:paraId="1A457836" w14:textId="77777777" w:rsidR="0044255B" w:rsidRPr="0044255B" w:rsidRDefault="0044255B" w:rsidP="0044255B">
            <w:pPr>
              <w:ind w:left="360"/>
              <w:rPr>
                <w:rFonts w:ascii="Calibri" w:eastAsia="Times New Roman" w:hAnsi="Calibri" w:cs="Calibri"/>
                <w:color w:val="000000"/>
                <w:sz w:val="22"/>
                <w:szCs w:val="22"/>
                <w:lang w:val="en-CA"/>
              </w:rPr>
            </w:pPr>
            <w:r w:rsidRPr="0044255B">
              <w:rPr>
                <w:rFonts w:ascii="Calibri" w:eastAsia="Times New Roman" w:hAnsi="Calibri" w:cs="Calibri"/>
                <w:color w:val="000000"/>
                <w:sz w:val="22"/>
                <w:szCs w:val="22"/>
                <w:lang w:val="en-CA"/>
              </w:rPr>
              <w:lastRenderedPageBreak/>
              <w:t xml:space="preserve">Do we need to do a layout for each building </w:t>
            </w:r>
            <w:proofErr w:type="gramStart"/>
            <w:r w:rsidRPr="0044255B">
              <w:rPr>
                <w:rFonts w:ascii="Calibri" w:eastAsia="Times New Roman" w:hAnsi="Calibri" w:cs="Calibri"/>
                <w:color w:val="000000"/>
                <w:sz w:val="22"/>
                <w:szCs w:val="22"/>
                <w:lang w:val="en-CA"/>
              </w:rPr>
              <w:t>site</w:t>
            </w:r>
            <w:proofErr w:type="gramEnd"/>
            <w:r w:rsidRPr="0044255B">
              <w:rPr>
                <w:rFonts w:ascii="Calibri" w:eastAsia="Times New Roman" w:hAnsi="Calibri" w:cs="Calibri"/>
                <w:color w:val="000000"/>
                <w:sz w:val="22"/>
                <w:szCs w:val="22"/>
                <w:lang w:val="en-CA"/>
              </w:rPr>
              <w:t xml:space="preserve"> and would we be able to get single lines for the switchgear? Or will this come in the project package if we get shortlist after Statement of interest process?</w:t>
            </w:r>
          </w:p>
          <w:p w14:paraId="421DA852" w14:textId="77777777" w:rsidR="000A77A8" w:rsidRPr="000A77A8" w:rsidRDefault="000A77A8" w:rsidP="000A77A8">
            <w:pPr>
              <w:ind w:left="360"/>
              <w:rPr>
                <w:rFonts w:ascii="Calibri" w:eastAsia="Times New Roman" w:hAnsi="Calibri" w:cs="Calibri"/>
                <w:color w:val="000000"/>
                <w:sz w:val="22"/>
                <w:szCs w:val="22"/>
              </w:rPr>
            </w:pPr>
          </w:p>
        </w:tc>
        <w:tc>
          <w:tcPr>
            <w:tcW w:w="7650" w:type="dxa"/>
          </w:tcPr>
          <w:p w14:paraId="53215BCD" w14:textId="77777777" w:rsidR="0044255B" w:rsidRPr="00052BD2" w:rsidRDefault="0044255B" w:rsidP="0044255B">
            <w:pPr>
              <w:ind w:left="360"/>
              <w:rPr>
                <w:rFonts w:ascii="Calibri" w:eastAsia="Times New Roman" w:hAnsi="Calibri" w:cs="Calibri"/>
                <w:color w:val="4472C4" w:themeColor="accent1"/>
                <w:lang w:val="en-CA"/>
              </w:rPr>
            </w:pPr>
            <w:r w:rsidRPr="00052BD2">
              <w:rPr>
                <w:rFonts w:ascii="Calibri" w:eastAsia="Times New Roman" w:hAnsi="Calibri" w:cs="Calibri"/>
                <w:color w:val="4472C4" w:themeColor="accent1"/>
                <w:lang w:val="en-CA"/>
              </w:rPr>
              <w:t>Those who submit a Statement of Interest and are deemed qualified (meeting minimum requirements specified in RFP documentation) will be provided access to Project Packages which include a site plan and system layout as well as single line diagram.  As specified in the RFP document, we did not open switchgear nor review as-builts for existing switchgear, so specifics to how the switchgear itself is wired may not be reflected on the SLDs provided.  The sample project packages provided on the RFP website should give you a good indication of what will be provided for all the sites in terms of layout and SLD.  Again, we encourage you to submit a statement interest as soon as possible so you can begin reviewing the Project Packages.</w:t>
            </w:r>
          </w:p>
          <w:p w14:paraId="06CF27BC" w14:textId="77777777" w:rsidR="000A77A8" w:rsidRPr="00052BD2" w:rsidRDefault="000A77A8" w:rsidP="000A77A8">
            <w:pPr>
              <w:ind w:left="360"/>
              <w:rPr>
                <w:rFonts w:ascii="Calibri" w:eastAsia="Times New Roman" w:hAnsi="Calibri" w:cs="Calibri"/>
                <w:color w:val="4472C4" w:themeColor="accent1"/>
              </w:rPr>
            </w:pPr>
          </w:p>
        </w:tc>
      </w:tr>
      <w:tr w:rsidR="0044255B" w14:paraId="48E38930" w14:textId="77777777" w:rsidTr="00776044">
        <w:trPr>
          <w:trHeight w:val="1008"/>
        </w:trPr>
        <w:tc>
          <w:tcPr>
            <w:tcW w:w="5395" w:type="dxa"/>
          </w:tcPr>
          <w:p w14:paraId="5D9A72C7" w14:textId="77777777" w:rsidR="0044255B" w:rsidRPr="0044255B" w:rsidRDefault="0044255B" w:rsidP="0044255B">
            <w:pPr>
              <w:ind w:left="360"/>
              <w:rPr>
                <w:rFonts w:ascii="Calibri" w:eastAsia="Times New Roman" w:hAnsi="Calibri" w:cs="Calibri"/>
                <w:color w:val="000000"/>
                <w:sz w:val="22"/>
                <w:szCs w:val="22"/>
                <w:lang w:val="en-CA"/>
              </w:rPr>
            </w:pPr>
            <w:r w:rsidRPr="0044255B">
              <w:rPr>
                <w:rFonts w:ascii="Calibri" w:eastAsia="Times New Roman" w:hAnsi="Calibri" w:cs="Calibri"/>
                <w:color w:val="000000"/>
                <w:sz w:val="22"/>
                <w:szCs w:val="22"/>
                <w:lang w:val="en-CA"/>
              </w:rPr>
              <w:t>Will we be able to do a site walk or that will come after you choose Submission deadline (after August 1</w:t>
            </w:r>
            <w:r w:rsidRPr="0044255B">
              <w:rPr>
                <w:rFonts w:ascii="Calibri" w:eastAsia="Times New Roman" w:hAnsi="Calibri" w:cs="Calibri"/>
                <w:color w:val="000000"/>
                <w:sz w:val="22"/>
                <w:szCs w:val="22"/>
                <w:vertAlign w:val="superscript"/>
                <w:lang w:val="en-CA"/>
              </w:rPr>
              <w:t>st</w:t>
            </w:r>
            <w:r w:rsidRPr="0044255B">
              <w:rPr>
                <w:rFonts w:ascii="Calibri" w:eastAsia="Times New Roman" w:hAnsi="Calibri" w:cs="Calibri"/>
                <w:color w:val="000000"/>
                <w:sz w:val="22"/>
                <w:szCs w:val="22"/>
                <w:lang w:val="en-CA"/>
              </w:rPr>
              <w:t>)?</w:t>
            </w:r>
          </w:p>
          <w:p w14:paraId="74F9423B" w14:textId="77777777" w:rsidR="0044255B" w:rsidRPr="0044255B" w:rsidRDefault="0044255B" w:rsidP="0044255B">
            <w:pPr>
              <w:ind w:left="360"/>
              <w:rPr>
                <w:rFonts w:ascii="Calibri" w:eastAsia="Times New Roman" w:hAnsi="Calibri" w:cs="Calibri"/>
                <w:color w:val="000000"/>
                <w:sz w:val="22"/>
                <w:szCs w:val="22"/>
                <w:lang w:val="en-CA"/>
              </w:rPr>
            </w:pPr>
          </w:p>
        </w:tc>
        <w:tc>
          <w:tcPr>
            <w:tcW w:w="7650" w:type="dxa"/>
          </w:tcPr>
          <w:p w14:paraId="3127ECAE" w14:textId="77777777" w:rsidR="0044255B" w:rsidRPr="00052BD2" w:rsidRDefault="0044255B" w:rsidP="0044255B">
            <w:pPr>
              <w:ind w:left="360"/>
              <w:rPr>
                <w:rFonts w:ascii="Calibri" w:eastAsia="Times New Roman" w:hAnsi="Calibri" w:cs="Calibri"/>
                <w:color w:val="4472C4" w:themeColor="accent1"/>
                <w:lang w:val="en-CA"/>
              </w:rPr>
            </w:pPr>
            <w:r w:rsidRPr="00052BD2">
              <w:rPr>
                <w:rFonts w:ascii="Calibri" w:eastAsia="Times New Roman" w:hAnsi="Calibri" w:cs="Calibri"/>
                <w:color w:val="4472C4" w:themeColor="accent1"/>
                <w:lang w:val="en-CA"/>
              </w:rPr>
              <w:t xml:space="preserve">Sites have already been evaluated and system designs created by a reputable solar engineering and design firm.  We expect that the selected Proposer will want to walk some/all sites for the purposes of verification and further diligence.  However, that would not be for the purpose of formulating a proposal.  </w:t>
            </w:r>
          </w:p>
          <w:p w14:paraId="196EC0B4" w14:textId="77777777" w:rsidR="0044255B" w:rsidRPr="00052BD2" w:rsidRDefault="0044255B" w:rsidP="0044255B">
            <w:pPr>
              <w:ind w:left="360"/>
              <w:rPr>
                <w:rFonts w:ascii="Calibri" w:eastAsia="Times New Roman" w:hAnsi="Calibri" w:cs="Calibri"/>
                <w:color w:val="4472C4" w:themeColor="accent1"/>
                <w:lang w:val="en-CA"/>
              </w:rPr>
            </w:pPr>
          </w:p>
        </w:tc>
      </w:tr>
    </w:tbl>
    <w:p w14:paraId="2D6FBB25" w14:textId="6788E1F6" w:rsidR="00A55E90" w:rsidRDefault="00A55E90" w:rsidP="00A55E90">
      <w:pPr>
        <w:jc w:val="center"/>
      </w:pPr>
    </w:p>
    <w:p w14:paraId="09519AB9" w14:textId="1AA96474" w:rsidR="00A55E90" w:rsidRDefault="00A55E90" w:rsidP="00A55E90">
      <w:pPr>
        <w:jc w:val="center"/>
      </w:pPr>
    </w:p>
    <w:p w14:paraId="6F7F8749" w14:textId="77777777" w:rsidR="00A55E90" w:rsidRDefault="00A55E90" w:rsidP="00A55E90"/>
    <w:sectPr w:rsidR="00A55E90" w:rsidSect="00653C10">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071D0"/>
    <w:multiLevelType w:val="multilevel"/>
    <w:tmpl w:val="0B288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BC3A4A"/>
    <w:multiLevelType w:val="hybridMultilevel"/>
    <w:tmpl w:val="E6CA8824"/>
    <w:lvl w:ilvl="0" w:tplc="DE46A2E6">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 w15:restartNumberingAfterBreak="0">
    <w:nsid w:val="094E1831"/>
    <w:multiLevelType w:val="multilevel"/>
    <w:tmpl w:val="A9F0C66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0D5B06B3"/>
    <w:multiLevelType w:val="multilevel"/>
    <w:tmpl w:val="87D8CF5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40C4D85"/>
    <w:multiLevelType w:val="multilevel"/>
    <w:tmpl w:val="360E1C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648791A"/>
    <w:multiLevelType w:val="multilevel"/>
    <w:tmpl w:val="A9F0C66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236B03FA"/>
    <w:multiLevelType w:val="multilevel"/>
    <w:tmpl w:val="7BD87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7094C10"/>
    <w:multiLevelType w:val="multilevel"/>
    <w:tmpl w:val="AA6A2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FA0449A"/>
    <w:multiLevelType w:val="multilevel"/>
    <w:tmpl w:val="A9F0C66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15:restartNumberingAfterBreak="0">
    <w:nsid w:val="32A40847"/>
    <w:multiLevelType w:val="multilevel"/>
    <w:tmpl w:val="66BCB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6CD1426"/>
    <w:multiLevelType w:val="multilevel"/>
    <w:tmpl w:val="43823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273051E"/>
    <w:multiLevelType w:val="multilevel"/>
    <w:tmpl w:val="DAE2AC0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3722CF1"/>
    <w:multiLevelType w:val="multilevel"/>
    <w:tmpl w:val="CCCAF18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9910944"/>
    <w:multiLevelType w:val="multilevel"/>
    <w:tmpl w:val="6570E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D6F484A"/>
    <w:multiLevelType w:val="multilevel"/>
    <w:tmpl w:val="A9F0C66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15:restartNumberingAfterBreak="0">
    <w:nsid w:val="5E2213D0"/>
    <w:multiLevelType w:val="multilevel"/>
    <w:tmpl w:val="A6CC915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5937EF5"/>
    <w:multiLevelType w:val="multilevel"/>
    <w:tmpl w:val="934EB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720782746">
    <w:abstractNumId w:val="4"/>
  </w:num>
  <w:num w:numId="2" w16cid:durableId="89936278">
    <w:abstractNumId w:val="11"/>
  </w:num>
  <w:num w:numId="3" w16cid:durableId="2017422237">
    <w:abstractNumId w:val="10"/>
  </w:num>
  <w:num w:numId="4" w16cid:durableId="278882630">
    <w:abstractNumId w:val="2"/>
  </w:num>
  <w:num w:numId="5" w16cid:durableId="563179772">
    <w:abstractNumId w:val="0"/>
  </w:num>
  <w:num w:numId="6" w16cid:durableId="338703437">
    <w:abstractNumId w:val="9"/>
  </w:num>
  <w:num w:numId="7" w16cid:durableId="696735118">
    <w:abstractNumId w:val="7"/>
  </w:num>
  <w:num w:numId="8" w16cid:durableId="699090057">
    <w:abstractNumId w:val="5"/>
  </w:num>
  <w:num w:numId="9" w16cid:durableId="2066902753">
    <w:abstractNumId w:val="16"/>
  </w:num>
  <w:num w:numId="10" w16cid:durableId="268396343">
    <w:abstractNumId w:val="14"/>
  </w:num>
  <w:num w:numId="11" w16cid:durableId="341323237">
    <w:abstractNumId w:val="6"/>
  </w:num>
  <w:num w:numId="12" w16cid:durableId="252399713">
    <w:abstractNumId w:val="8"/>
  </w:num>
  <w:num w:numId="13" w16cid:durableId="1132554800">
    <w:abstractNumId w:val="13"/>
  </w:num>
  <w:num w:numId="14" w16cid:durableId="3015965">
    <w:abstractNumId w:val="12"/>
  </w:num>
  <w:num w:numId="15" w16cid:durableId="1221865641">
    <w:abstractNumId w:val="3"/>
  </w:num>
  <w:num w:numId="16" w16cid:durableId="265114218">
    <w:abstractNumId w:val="15"/>
  </w:num>
  <w:num w:numId="17" w16cid:durableId="105277147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E90"/>
    <w:rsid w:val="000025DF"/>
    <w:rsid w:val="00004B81"/>
    <w:rsid w:val="0004460F"/>
    <w:rsid w:val="00052BD2"/>
    <w:rsid w:val="00072E41"/>
    <w:rsid w:val="000A77A8"/>
    <w:rsid w:val="001431A3"/>
    <w:rsid w:val="0036246A"/>
    <w:rsid w:val="0044255B"/>
    <w:rsid w:val="004C1123"/>
    <w:rsid w:val="00653C10"/>
    <w:rsid w:val="00772A1B"/>
    <w:rsid w:val="00776044"/>
    <w:rsid w:val="007F4680"/>
    <w:rsid w:val="00821000"/>
    <w:rsid w:val="00900ECB"/>
    <w:rsid w:val="009E7952"/>
    <w:rsid w:val="00A55E90"/>
    <w:rsid w:val="00AE6086"/>
    <w:rsid w:val="00B44D29"/>
    <w:rsid w:val="00CC6F13"/>
    <w:rsid w:val="00D83819"/>
    <w:rsid w:val="00DD5A48"/>
    <w:rsid w:val="00DF54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E5D09DF"/>
  <w15:chartTrackingRefBased/>
  <w15:docId w15:val="{CB032049-D41D-9D4C-96DE-134122860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55E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5E90"/>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821000"/>
    <w:rPr>
      <w:color w:val="0563C1" w:themeColor="hyperlink"/>
      <w:u w:val="single"/>
    </w:rPr>
  </w:style>
  <w:style w:type="character" w:styleId="FollowedHyperlink">
    <w:name w:val="FollowedHyperlink"/>
    <w:basedOn w:val="DefaultParagraphFont"/>
    <w:uiPriority w:val="99"/>
    <w:semiHidden/>
    <w:unhideWhenUsed/>
    <w:rsid w:val="00821000"/>
    <w:rPr>
      <w:color w:val="954F72" w:themeColor="followedHyperlink"/>
      <w:u w:val="single"/>
    </w:rPr>
  </w:style>
  <w:style w:type="character" w:styleId="UnresolvedMention">
    <w:name w:val="Unresolved Mention"/>
    <w:basedOn w:val="DefaultParagraphFont"/>
    <w:uiPriority w:val="99"/>
    <w:semiHidden/>
    <w:unhideWhenUsed/>
    <w:rsid w:val="004C1123"/>
    <w:rPr>
      <w:color w:val="605E5C"/>
      <w:shd w:val="clear" w:color="auto" w:fill="E1DFDD"/>
    </w:rPr>
  </w:style>
  <w:style w:type="character" w:customStyle="1" w:styleId="apple-converted-space">
    <w:name w:val="apple-converted-space"/>
    <w:basedOn w:val="DefaultParagraphFont"/>
    <w:rsid w:val="000A77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023848">
      <w:bodyDiv w:val="1"/>
      <w:marLeft w:val="0"/>
      <w:marRight w:val="0"/>
      <w:marTop w:val="0"/>
      <w:marBottom w:val="0"/>
      <w:divBdr>
        <w:top w:val="none" w:sz="0" w:space="0" w:color="auto"/>
        <w:left w:val="none" w:sz="0" w:space="0" w:color="auto"/>
        <w:bottom w:val="none" w:sz="0" w:space="0" w:color="auto"/>
        <w:right w:val="none" w:sz="0" w:space="0" w:color="auto"/>
      </w:divBdr>
    </w:div>
    <w:div w:id="264073474">
      <w:bodyDiv w:val="1"/>
      <w:marLeft w:val="0"/>
      <w:marRight w:val="0"/>
      <w:marTop w:val="0"/>
      <w:marBottom w:val="0"/>
      <w:divBdr>
        <w:top w:val="none" w:sz="0" w:space="0" w:color="auto"/>
        <w:left w:val="none" w:sz="0" w:space="0" w:color="auto"/>
        <w:bottom w:val="none" w:sz="0" w:space="0" w:color="auto"/>
        <w:right w:val="none" w:sz="0" w:space="0" w:color="auto"/>
      </w:divBdr>
    </w:div>
    <w:div w:id="264726751">
      <w:bodyDiv w:val="1"/>
      <w:marLeft w:val="0"/>
      <w:marRight w:val="0"/>
      <w:marTop w:val="0"/>
      <w:marBottom w:val="0"/>
      <w:divBdr>
        <w:top w:val="none" w:sz="0" w:space="0" w:color="auto"/>
        <w:left w:val="none" w:sz="0" w:space="0" w:color="auto"/>
        <w:bottom w:val="none" w:sz="0" w:space="0" w:color="auto"/>
        <w:right w:val="none" w:sz="0" w:space="0" w:color="auto"/>
      </w:divBdr>
    </w:div>
    <w:div w:id="629634130">
      <w:bodyDiv w:val="1"/>
      <w:marLeft w:val="0"/>
      <w:marRight w:val="0"/>
      <w:marTop w:val="0"/>
      <w:marBottom w:val="0"/>
      <w:divBdr>
        <w:top w:val="none" w:sz="0" w:space="0" w:color="auto"/>
        <w:left w:val="none" w:sz="0" w:space="0" w:color="auto"/>
        <w:bottom w:val="none" w:sz="0" w:space="0" w:color="auto"/>
        <w:right w:val="none" w:sz="0" w:space="0" w:color="auto"/>
      </w:divBdr>
    </w:div>
    <w:div w:id="644507350">
      <w:bodyDiv w:val="1"/>
      <w:marLeft w:val="0"/>
      <w:marRight w:val="0"/>
      <w:marTop w:val="0"/>
      <w:marBottom w:val="0"/>
      <w:divBdr>
        <w:top w:val="none" w:sz="0" w:space="0" w:color="auto"/>
        <w:left w:val="none" w:sz="0" w:space="0" w:color="auto"/>
        <w:bottom w:val="none" w:sz="0" w:space="0" w:color="auto"/>
        <w:right w:val="none" w:sz="0" w:space="0" w:color="auto"/>
      </w:divBdr>
    </w:div>
    <w:div w:id="755830785">
      <w:bodyDiv w:val="1"/>
      <w:marLeft w:val="0"/>
      <w:marRight w:val="0"/>
      <w:marTop w:val="0"/>
      <w:marBottom w:val="0"/>
      <w:divBdr>
        <w:top w:val="none" w:sz="0" w:space="0" w:color="auto"/>
        <w:left w:val="none" w:sz="0" w:space="0" w:color="auto"/>
        <w:bottom w:val="none" w:sz="0" w:space="0" w:color="auto"/>
        <w:right w:val="none" w:sz="0" w:space="0" w:color="auto"/>
      </w:divBdr>
    </w:div>
    <w:div w:id="838927397">
      <w:bodyDiv w:val="1"/>
      <w:marLeft w:val="0"/>
      <w:marRight w:val="0"/>
      <w:marTop w:val="0"/>
      <w:marBottom w:val="0"/>
      <w:divBdr>
        <w:top w:val="none" w:sz="0" w:space="0" w:color="auto"/>
        <w:left w:val="none" w:sz="0" w:space="0" w:color="auto"/>
        <w:bottom w:val="none" w:sz="0" w:space="0" w:color="auto"/>
        <w:right w:val="none" w:sz="0" w:space="0" w:color="auto"/>
      </w:divBdr>
    </w:div>
    <w:div w:id="935475602">
      <w:bodyDiv w:val="1"/>
      <w:marLeft w:val="0"/>
      <w:marRight w:val="0"/>
      <w:marTop w:val="0"/>
      <w:marBottom w:val="0"/>
      <w:divBdr>
        <w:top w:val="none" w:sz="0" w:space="0" w:color="auto"/>
        <w:left w:val="none" w:sz="0" w:space="0" w:color="auto"/>
        <w:bottom w:val="none" w:sz="0" w:space="0" w:color="auto"/>
        <w:right w:val="none" w:sz="0" w:space="0" w:color="auto"/>
      </w:divBdr>
    </w:div>
    <w:div w:id="1069353145">
      <w:bodyDiv w:val="1"/>
      <w:marLeft w:val="0"/>
      <w:marRight w:val="0"/>
      <w:marTop w:val="0"/>
      <w:marBottom w:val="0"/>
      <w:divBdr>
        <w:top w:val="none" w:sz="0" w:space="0" w:color="auto"/>
        <w:left w:val="none" w:sz="0" w:space="0" w:color="auto"/>
        <w:bottom w:val="none" w:sz="0" w:space="0" w:color="auto"/>
        <w:right w:val="none" w:sz="0" w:space="0" w:color="auto"/>
      </w:divBdr>
    </w:div>
    <w:div w:id="1338583472">
      <w:bodyDiv w:val="1"/>
      <w:marLeft w:val="0"/>
      <w:marRight w:val="0"/>
      <w:marTop w:val="0"/>
      <w:marBottom w:val="0"/>
      <w:divBdr>
        <w:top w:val="none" w:sz="0" w:space="0" w:color="auto"/>
        <w:left w:val="none" w:sz="0" w:space="0" w:color="auto"/>
        <w:bottom w:val="none" w:sz="0" w:space="0" w:color="auto"/>
        <w:right w:val="none" w:sz="0" w:space="0" w:color="auto"/>
      </w:divBdr>
    </w:div>
    <w:div w:id="1367292988">
      <w:bodyDiv w:val="1"/>
      <w:marLeft w:val="0"/>
      <w:marRight w:val="0"/>
      <w:marTop w:val="0"/>
      <w:marBottom w:val="0"/>
      <w:divBdr>
        <w:top w:val="none" w:sz="0" w:space="0" w:color="auto"/>
        <w:left w:val="none" w:sz="0" w:space="0" w:color="auto"/>
        <w:bottom w:val="none" w:sz="0" w:space="0" w:color="auto"/>
        <w:right w:val="none" w:sz="0" w:space="0" w:color="auto"/>
      </w:divBdr>
    </w:div>
    <w:div w:id="1370180451">
      <w:bodyDiv w:val="1"/>
      <w:marLeft w:val="0"/>
      <w:marRight w:val="0"/>
      <w:marTop w:val="0"/>
      <w:marBottom w:val="0"/>
      <w:divBdr>
        <w:top w:val="none" w:sz="0" w:space="0" w:color="auto"/>
        <w:left w:val="none" w:sz="0" w:space="0" w:color="auto"/>
        <w:bottom w:val="none" w:sz="0" w:space="0" w:color="auto"/>
        <w:right w:val="none" w:sz="0" w:space="0" w:color="auto"/>
      </w:divBdr>
    </w:div>
    <w:div w:id="1420903895">
      <w:bodyDiv w:val="1"/>
      <w:marLeft w:val="0"/>
      <w:marRight w:val="0"/>
      <w:marTop w:val="0"/>
      <w:marBottom w:val="0"/>
      <w:divBdr>
        <w:top w:val="none" w:sz="0" w:space="0" w:color="auto"/>
        <w:left w:val="none" w:sz="0" w:space="0" w:color="auto"/>
        <w:bottom w:val="none" w:sz="0" w:space="0" w:color="auto"/>
        <w:right w:val="none" w:sz="0" w:space="0" w:color="auto"/>
      </w:divBdr>
    </w:div>
    <w:div w:id="1465732404">
      <w:bodyDiv w:val="1"/>
      <w:marLeft w:val="0"/>
      <w:marRight w:val="0"/>
      <w:marTop w:val="0"/>
      <w:marBottom w:val="0"/>
      <w:divBdr>
        <w:top w:val="none" w:sz="0" w:space="0" w:color="auto"/>
        <w:left w:val="none" w:sz="0" w:space="0" w:color="auto"/>
        <w:bottom w:val="none" w:sz="0" w:space="0" w:color="auto"/>
        <w:right w:val="none" w:sz="0" w:space="0" w:color="auto"/>
      </w:divBdr>
    </w:div>
    <w:div w:id="1528836116">
      <w:bodyDiv w:val="1"/>
      <w:marLeft w:val="0"/>
      <w:marRight w:val="0"/>
      <w:marTop w:val="0"/>
      <w:marBottom w:val="0"/>
      <w:divBdr>
        <w:top w:val="none" w:sz="0" w:space="0" w:color="auto"/>
        <w:left w:val="none" w:sz="0" w:space="0" w:color="auto"/>
        <w:bottom w:val="none" w:sz="0" w:space="0" w:color="auto"/>
        <w:right w:val="none" w:sz="0" w:space="0" w:color="auto"/>
      </w:divBdr>
    </w:div>
    <w:div w:id="1542208663">
      <w:bodyDiv w:val="1"/>
      <w:marLeft w:val="0"/>
      <w:marRight w:val="0"/>
      <w:marTop w:val="0"/>
      <w:marBottom w:val="0"/>
      <w:divBdr>
        <w:top w:val="none" w:sz="0" w:space="0" w:color="auto"/>
        <w:left w:val="none" w:sz="0" w:space="0" w:color="auto"/>
        <w:bottom w:val="none" w:sz="0" w:space="0" w:color="auto"/>
        <w:right w:val="none" w:sz="0" w:space="0" w:color="auto"/>
      </w:divBdr>
    </w:div>
    <w:div w:id="1943023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peninsulacleanenergy.com/solicitation/publicfacilitiesrf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782</Words>
  <Characters>4461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Fribush</dc:creator>
  <cp:keywords/>
  <dc:description/>
  <cp:lastModifiedBy>Dave Fribush</cp:lastModifiedBy>
  <cp:revision>9</cp:revision>
  <dcterms:created xsi:type="dcterms:W3CDTF">2022-06-20T21:40:00Z</dcterms:created>
  <dcterms:modified xsi:type="dcterms:W3CDTF">2022-07-07T23:30:00Z</dcterms:modified>
</cp:coreProperties>
</file>