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9233D" w14:textId="06B3EB97" w:rsidR="00976FF5" w:rsidRPr="00284C5F" w:rsidRDefault="007204C5" w:rsidP="006B0688">
      <w:pPr>
        <w:jc w:val="center"/>
      </w:pPr>
      <w:r w:rsidRPr="00284C5F">
        <w:rPr>
          <w:b/>
        </w:rPr>
        <w:t xml:space="preserve">Term Sheet for </w:t>
      </w:r>
      <w:r w:rsidR="00976FF5" w:rsidRPr="00284C5F">
        <w:rPr>
          <w:b/>
        </w:rPr>
        <w:t>Power Purchase Agreement</w:t>
      </w:r>
      <w:r w:rsidR="00F51CA2">
        <w:rPr>
          <w:b/>
        </w:rPr>
        <w:br/>
      </w:r>
      <w:r w:rsidR="00F51CA2">
        <w:rPr>
          <w:sz w:val="20"/>
        </w:rPr>
        <w:t xml:space="preserve">(For Projects </w:t>
      </w:r>
      <w:r w:rsidR="00B60CA3">
        <w:rPr>
          <w:sz w:val="20"/>
        </w:rPr>
        <w:t xml:space="preserve">less than </w:t>
      </w:r>
      <w:r w:rsidR="00F51CA2">
        <w:rPr>
          <w:sz w:val="20"/>
        </w:rPr>
        <w:t>1 MW)</w:t>
      </w:r>
      <w:r w:rsidR="00976FF5" w:rsidRPr="00284C5F">
        <w:rPr>
          <w:b/>
        </w:rPr>
        <w:t xml:space="preserve"> </w:t>
      </w:r>
    </w:p>
    <w:p w14:paraId="61B9BF6A" w14:textId="7B30E67D" w:rsidR="00F3434A" w:rsidRPr="00284C5F" w:rsidRDefault="00F3434A" w:rsidP="006B0688">
      <w:pPr>
        <w:pStyle w:val="Heading3"/>
        <w:numPr>
          <w:ilvl w:val="0"/>
          <w:numId w:val="0"/>
        </w:numPr>
        <w:rPr>
          <w:szCs w:val="24"/>
        </w:rPr>
      </w:pPr>
    </w:p>
    <w:p w14:paraId="49D23EAB" w14:textId="18A6509C" w:rsidR="004F7067" w:rsidRPr="00284C5F" w:rsidRDefault="00005184" w:rsidP="00005184">
      <w:pPr>
        <w:jc w:val="both"/>
        <w:rPr>
          <w:i/>
        </w:rPr>
      </w:pPr>
      <w:r w:rsidRPr="00284C5F">
        <w:rPr>
          <w:i/>
        </w:rPr>
        <w:t xml:space="preserve">This </w:t>
      </w:r>
      <w:r w:rsidR="001C5B93" w:rsidRPr="00284C5F">
        <w:rPr>
          <w:i/>
        </w:rPr>
        <w:t>term she</w:t>
      </w:r>
      <w:r w:rsidR="00BA26E8" w:rsidRPr="00284C5F">
        <w:rPr>
          <w:i/>
        </w:rPr>
        <w:t>et</w:t>
      </w:r>
      <w:r w:rsidRPr="00284C5F">
        <w:rPr>
          <w:i/>
        </w:rPr>
        <w:t xml:space="preserve"> includes the key commercial terms and conditions that </w:t>
      </w:r>
      <w:r w:rsidR="001B3C8C" w:rsidRPr="00284C5F">
        <w:rPr>
          <w:i/>
        </w:rPr>
        <w:t xml:space="preserve">will be </w:t>
      </w:r>
      <w:r w:rsidRPr="00284C5F">
        <w:rPr>
          <w:i/>
        </w:rPr>
        <w:t xml:space="preserve">included in a </w:t>
      </w:r>
      <w:r w:rsidR="001B3C8C" w:rsidRPr="00284C5F">
        <w:rPr>
          <w:i/>
        </w:rPr>
        <w:t xml:space="preserve">proposed </w:t>
      </w:r>
      <w:r w:rsidRPr="00284C5F">
        <w:rPr>
          <w:i/>
        </w:rPr>
        <w:t xml:space="preserve">power purchase agreement </w:t>
      </w:r>
      <w:r w:rsidR="00AC025E" w:rsidRPr="00284C5F">
        <w:rPr>
          <w:i/>
        </w:rPr>
        <w:t xml:space="preserve">to </w:t>
      </w:r>
      <w:r w:rsidRPr="00284C5F">
        <w:rPr>
          <w:i/>
        </w:rPr>
        <w:t xml:space="preserve">be negotiated </w:t>
      </w:r>
      <w:r w:rsidR="003A59B5" w:rsidRPr="00284C5F">
        <w:rPr>
          <w:i/>
        </w:rPr>
        <w:t>between Seller and Buyer (as defined below)</w:t>
      </w:r>
      <w:r w:rsidR="008B44B7" w:rsidRPr="00284C5F">
        <w:rPr>
          <w:i/>
        </w:rPr>
        <w:t xml:space="preserve"> </w:t>
      </w:r>
      <w:r w:rsidR="000938E3" w:rsidRPr="00284C5F">
        <w:rPr>
          <w:i/>
        </w:rPr>
        <w:t xml:space="preserve">if Bidder is selected </w:t>
      </w:r>
      <w:r w:rsidR="007520A3" w:rsidRPr="00284C5F">
        <w:rPr>
          <w:i/>
        </w:rPr>
        <w:t xml:space="preserve">for the shortlist of offers submitted in </w:t>
      </w:r>
      <w:r w:rsidR="003E6E93" w:rsidRPr="00284C5F">
        <w:rPr>
          <w:i/>
        </w:rPr>
        <w:t xml:space="preserve">the </w:t>
      </w:r>
      <w:r w:rsidR="00A730A0" w:rsidRPr="00284C5F">
        <w:rPr>
          <w:i/>
        </w:rPr>
        <w:t>202</w:t>
      </w:r>
      <w:r w:rsidR="00257A64">
        <w:rPr>
          <w:i/>
        </w:rPr>
        <w:t>2-2023</w:t>
      </w:r>
      <w:r w:rsidR="00130F92">
        <w:rPr>
          <w:i/>
        </w:rPr>
        <w:t xml:space="preserve"> CSGT RFO</w:t>
      </w:r>
      <w:r w:rsidR="00AC424D">
        <w:rPr>
          <w:i/>
        </w:rPr>
        <w:t>.</w:t>
      </w:r>
    </w:p>
    <w:p w14:paraId="6A9A0F33" w14:textId="2AA94363" w:rsidR="001E0946" w:rsidRPr="00284C5F" w:rsidRDefault="001E0946" w:rsidP="00005184">
      <w:pPr>
        <w:jc w:val="both"/>
      </w:pPr>
    </w:p>
    <w:p w14:paraId="3A8AE9BB" w14:textId="38DFC672" w:rsidR="002F0F6F" w:rsidRPr="00284C5F" w:rsidRDefault="002F0F6F" w:rsidP="00005184">
      <w:pPr>
        <w:jc w:val="both"/>
      </w:pPr>
      <w:r w:rsidRPr="00284C5F">
        <w:t>T</w:t>
      </w:r>
      <w:r w:rsidR="00FE3D95" w:rsidRPr="00284C5F">
        <w:t xml:space="preserve">HIS TERM SHEET FOR POWER PURCHASE AGREEMENT </w:t>
      </w:r>
      <w:r w:rsidRPr="00284C5F">
        <w:t>(“</w:t>
      </w:r>
      <w:r w:rsidR="00FE3D95" w:rsidRPr="00284C5F">
        <w:rPr>
          <w:b/>
          <w:bCs/>
          <w:u w:val="single"/>
        </w:rPr>
        <w:t>Term Shee</w:t>
      </w:r>
      <w:r w:rsidRPr="00284C5F">
        <w:rPr>
          <w:b/>
          <w:bCs/>
          <w:u w:val="single"/>
        </w:rPr>
        <w:t>t</w:t>
      </w:r>
      <w:r w:rsidRPr="00284C5F">
        <w:t xml:space="preserve">”) is entered into as of </w:t>
      </w:r>
      <w:r w:rsidRPr="00284C5F">
        <w:rPr>
          <w:highlight w:val="lightGray"/>
        </w:rPr>
        <w:t>_____</w:t>
      </w:r>
      <w:r w:rsidRPr="00284C5F">
        <w:t xml:space="preserve">, </w:t>
      </w:r>
      <w:r w:rsidR="00DE3DB3" w:rsidRPr="00284C5F">
        <w:t>20</w:t>
      </w:r>
      <w:r w:rsidR="00DE3DB3">
        <w:t>__</w:t>
      </w:r>
      <w:r w:rsidR="00DE3DB3" w:rsidRPr="00284C5F">
        <w:t xml:space="preserve"> </w:t>
      </w:r>
      <w:r w:rsidRPr="00284C5F">
        <w:t>(the “</w:t>
      </w:r>
      <w:r w:rsidRPr="00284C5F">
        <w:rPr>
          <w:b/>
          <w:u w:val="single"/>
        </w:rPr>
        <w:t>Effective Date</w:t>
      </w:r>
      <w:r w:rsidRPr="00284C5F">
        <w:t xml:space="preserve">”), between </w:t>
      </w:r>
      <w:r w:rsidR="00A43F0D" w:rsidRPr="00284C5F">
        <w:t>Peninsula Clean Energy Authority, a California joint powers authority (“</w:t>
      </w:r>
      <w:r w:rsidR="00A43F0D" w:rsidRPr="00284C5F">
        <w:rPr>
          <w:b/>
          <w:bCs/>
          <w:u w:val="single"/>
        </w:rPr>
        <w:t>PCE</w:t>
      </w:r>
      <w:r w:rsidR="00A43F0D" w:rsidRPr="00284C5F">
        <w:t>”</w:t>
      </w:r>
      <w:r w:rsidR="0000555C" w:rsidRPr="00284C5F">
        <w:t xml:space="preserve"> or “</w:t>
      </w:r>
      <w:r w:rsidR="0000555C" w:rsidRPr="00284C5F">
        <w:rPr>
          <w:b/>
          <w:bCs/>
          <w:u w:val="single"/>
        </w:rPr>
        <w:t>Buyer</w:t>
      </w:r>
      <w:r w:rsidR="0000555C" w:rsidRPr="00284C5F">
        <w:t>”</w:t>
      </w:r>
      <w:r w:rsidR="00A43F0D" w:rsidRPr="00284C5F">
        <w:t>)</w:t>
      </w:r>
      <w:r w:rsidR="0024456B" w:rsidRPr="00284C5F">
        <w:t xml:space="preserve"> and </w:t>
      </w:r>
      <w:r w:rsidR="00405C41" w:rsidRPr="00284C5F">
        <w:t>[</w:t>
      </w:r>
      <w:r w:rsidR="00A828DD" w:rsidRPr="00284C5F">
        <w:rPr>
          <w:i/>
        </w:rPr>
        <w:t xml:space="preserve">e.g., Project Company </w:t>
      </w:r>
      <w:proofErr w:type="gramStart"/>
      <w:r w:rsidR="00A828DD" w:rsidRPr="00284C5F">
        <w:rPr>
          <w:i/>
        </w:rPr>
        <w:t>LLC</w:t>
      </w:r>
      <w:r w:rsidR="00A828DD" w:rsidRPr="00284C5F" w:rsidDel="00A828DD">
        <w:rPr>
          <w:i/>
          <w:highlight w:val="lightGray"/>
        </w:rPr>
        <w:t xml:space="preserve"> </w:t>
      </w:r>
      <w:r w:rsidR="00405C41" w:rsidRPr="00284C5F">
        <w:rPr>
          <w:highlight w:val="lightGray"/>
        </w:rPr>
        <w:t>]</w:t>
      </w:r>
      <w:proofErr w:type="gramEnd"/>
      <w:r w:rsidR="00405C41" w:rsidRPr="00284C5F">
        <w:t xml:space="preserve"> (“</w:t>
      </w:r>
      <w:r w:rsidR="00A828DD">
        <w:rPr>
          <w:b/>
          <w:u w:val="single"/>
        </w:rPr>
        <w:t>Seller</w:t>
      </w:r>
      <w:r w:rsidR="00405C41" w:rsidRPr="00284C5F">
        <w:t>”)</w:t>
      </w:r>
      <w:r w:rsidRPr="00284C5F">
        <w:t>.</w:t>
      </w:r>
      <w:r w:rsidR="00017BE6" w:rsidRPr="00284C5F">
        <w:t xml:space="preserve">  This Term Sheet includes the key commercial terms and conditions to be included in a proposed power purchase agreement (“</w:t>
      </w:r>
      <w:r w:rsidR="00017BE6" w:rsidRPr="00284C5F">
        <w:rPr>
          <w:b/>
          <w:u w:val="single"/>
        </w:rPr>
        <w:t>PPA</w:t>
      </w:r>
      <w:r w:rsidR="00017BE6" w:rsidRPr="00284C5F">
        <w:t xml:space="preserve">”) to be negotiated between </w:t>
      </w:r>
      <w:r w:rsidR="006D078E" w:rsidRPr="00284C5F">
        <w:t>Buyer</w:t>
      </w:r>
      <w:r w:rsidR="002F20D9" w:rsidRPr="00284C5F">
        <w:t xml:space="preserve"> </w:t>
      </w:r>
      <w:r w:rsidR="00017BE6" w:rsidRPr="00284C5F">
        <w:t xml:space="preserve">and </w:t>
      </w:r>
      <w:r w:rsidR="00A828DD">
        <w:t xml:space="preserve">Seller </w:t>
      </w:r>
      <w:r w:rsidR="00405C41" w:rsidRPr="00284C5F">
        <w:t>(the “</w:t>
      </w:r>
      <w:r w:rsidR="00405C41" w:rsidRPr="00284C5F">
        <w:rPr>
          <w:b/>
          <w:u w:val="single"/>
        </w:rPr>
        <w:t>Proposed Transaction</w:t>
      </w:r>
      <w:r w:rsidR="00405C41" w:rsidRPr="00284C5F">
        <w:t>”)</w:t>
      </w:r>
      <w:r w:rsidR="00017BE6" w:rsidRPr="00284C5F">
        <w:t xml:space="preserve">.  As used herein, </w:t>
      </w:r>
      <w:r w:rsidR="003F0E42" w:rsidRPr="00284C5F">
        <w:t>Buyer and Seller</w:t>
      </w:r>
      <w:r w:rsidR="00017BE6" w:rsidRPr="00284C5F">
        <w:t xml:space="preserve"> are each a “Party” and collectively the “Parties.”  Notwithstanding anything herein to the contrary, </w:t>
      </w:r>
      <w:r w:rsidR="00E238C3" w:rsidRPr="00284C5F">
        <w:t xml:space="preserve">until a </w:t>
      </w:r>
      <w:r w:rsidR="00934030" w:rsidRPr="00284C5F">
        <w:t xml:space="preserve">definitive agreement is approved by </w:t>
      </w:r>
      <w:r w:rsidR="00BA0A48" w:rsidRPr="00284C5F">
        <w:t>Seller’s management</w:t>
      </w:r>
      <w:r w:rsidR="00A828DD">
        <w:t>,</w:t>
      </w:r>
      <w:r w:rsidR="00DE3DB3">
        <w:t xml:space="preserve"> </w:t>
      </w:r>
      <w:r w:rsidR="00CE5037" w:rsidRPr="00284C5F">
        <w:t>the PCE Board of Directors</w:t>
      </w:r>
      <w:r w:rsidR="00017BE6" w:rsidRPr="00284C5F">
        <w:t>,</w:t>
      </w:r>
      <w:r w:rsidR="00A828DD">
        <w:t xml:space="preserve"> and the California Public Utilities Commission (“</w:t>
      </w:r>
      <w:r w:rsidR="00A828DD" w:rsidRPr="00DE3DB3">
        <w:rPr>
          <w:b/>
          <w:bCs/>
          <w:u w:val="single"/>
        </w:rPr>
        <w:t>CPUC</w:t>
      </w:r>
      <w:r w:rsidR="00A828DD">
        <w:t>”)</w:t>
      </w:r>
      <w:r w:rsidR="00017BE6" w:rsidRPr="00284C5F">
        <w:t xml:space="preserve"> no Party shall have any legal obligations, expressed or implied, </w:t>
      </w:r>
      <w:r w:rsidR="00C860C3" w:rsidRPr="00284C5F">
        <w:t xml:space="preserve">in connection with, </w:t>
      </w:r>
      <w:r w:rsidR="00017BE6" w:rsidRPr="00284C5F">
        <w:t>or arising in any manner under</w:t>
      </w:r>
      <w:r w:rsidR="00C860C3" w:rsidRPr="00284C5F">
        <w:t>,</w:t>
      </w:r>
      <w:r w:rsidR="00017BE6" w:rsidRPr="00284C5F">
        <w:t xml:space="preserve"> this Term Sheet</w:t>
      </w:r>
      <w:r w:rsidR="00C860C3" w:rsidRPr="00284C5F">
        <w:t>, and neither Party will be obligated</w:t>
      </w:r>
      <w:r w:rsidR="00017BE6" w:rsidRPr="00284C5F">
        <w:t xml:space="preserve"> to continue negotiations or enter into the Proposed Transaction</w:t>
      </w:r>
      <w:r w:rsidR="008706D7" w:rsidRPr="00284C5F">
        <w:t>.</w:t>
      </w:r>
    </w:p>
    <w:p w14:paraId="6FBAE25A" w14:textId="3329698F" w:rsidR="00A730A0" w:rsidRPr="00284C5F" w:rsidRDefault="00A730A0" w:rsidP="00F3434A"/>
    <w:p w14:paraId="51F4F8FD" w14:textId="1E969BA7" w:rsidR="007814E1" w:rsidRPr="00284C5F" w:rsidRDefault="007814E1" w:rsidP="00AF6A4E">
      <w:pPr>
        <w:pStyle w:val="ListParagraph"/>
        <w:numPr>
          <w:ilvl w:val="0"/>
          <w:numId w:val="39"/>
        </w:numPr>
        <w:spacing w:after="240"/>
        <w:ind w:hanging="720"/>
        <w:rPr>
          <w:b/>
        </w:rPr>
      </w:pPr>
      <w:r w:rsidRPr="00284C5F">
        <w:rPr>
          <w:b/>
        </w:rPr>
        <w:t>PPA Terms</w:t>
      </w:r>
      <w:r w:rsidR="00A730A0" w:rsidRPr="00284C5F">
        <w:rPr>
          <w:b/>
        </w:rPr>
        <w:t xml:space="preserve"> and Conditions</w:t>
      </w:r>
      <w:r w:rsidR="005A2802" w:rsidRPr="00284C5F">
        <w:t>.</w:t>
      </w:r>
    </w:p>
    <w:tbl>
      <w:tblPr>
        <w:tblStyle w:val="TableGrid"/>
        <w:tblW w:w="9970" w:type="dxa"/>
        <w:tblInd w:w="-185" w:type="dxa"/>
        <w:tblCellMar>
          <w:top w:w="58" w:type="dxa"/>
          <w:left w:w="115" w:type="dxa"/>
          <w:bottom w:w="58" w:type="dxa"/>
          <w:right w:w="115" w:type="dxa"/>
        </w:tblCellMar>
        <w:tblLook w:val="04A0" w:firstRow="1" w:lastRow="0" w:firstColumn="1" w:lastColumn="0" w:noHBand="0" w:noVBand="1"/>
      </w:tblPr>
      <w:tblGrid>
        <w:gridCol w:w="2790"/>
        <w:gridCol w:w="7180"/>
      </w:tblGrid>
      <w:tr w:rsidR="00F3434A" w:rsidRPr="00284C5F" w14:paraId="774A0AB6" w14:textId="77777777" w:rsidTr="00507296">
        <w:tc>
          <w:tcPr>
            <w:tcW w:w="2790" w:type="dxa"/>
          </w:tcPr>
          <w:p w14:paraId="4DA550C9" w14:textId="39BE2DF2" w:rsidR="00F3434A" w:rsidRPr="00284C5F" w:rsidRDefault="00F3434A" w:rsidP="0084323D">
            <w:pPr>
              <w:spacing w:before="120" w:after="120"/>
              <w:rPr>
                <w:b/>
              </w:rPr>
            </w:pPr>
            <w:r w:rsidRPr="00284C5F">
              <w:rPr>
                <w:b/>
              </w:rPr>
              <w:t>Seller:</w:t>
            </w:r>
          </w:p>
        </w:tc>
        <w:tc>
          <w:tcPr>
            <w:tcW w:w="7180" w:type="dxa"/>
          </w:tcPr>
          <w:p w14:paraId="5A1903FD" w14:textId="07CC2104" w:rsidR="00005184" w:rsidRPr="00284C5F" w:rsidRDefault="00005184" w:rsidP="0084323D">
            <w:pPr>
              <w:spacing w:before="120" w:after="120"/>
              <w:jc w:val="both"/>
            </w:pPr>
            <w:r w:rsidRPr="00284C5F">
              <w:t>[</w:t>
            </w:r>
            <w:r w:rsidRPr="00284C5F">
              <w:rPr>
                <w:i/>
              </w:rPr>
              <w:t>Seller Name</w:t>
            </w:r>
            <w:r w:rsidR="003E6B75" w:rsidRPr="00284C5F">
              <w:t xml:space="preserve">, </w:t>
            </w:r>
            <w:r w:rsidR="003E6B75" w:rsidRPr="00284C5F">
              <w:rPr>
                <w:i/>
              </w:rPr>
              <w:t>e.g., Project Company LLC</w:t>
            </w:r>
            <w:r w:rsidRPr="00284C5F">
              <w:t xml:space="preserve">] </w:t>
            </w:r>
          </w:p>
          <w:p w14:paraId="0CBADA01" w14:textId="7426712D" w:rsidR="00F3434A" w:rsidRPr="00284C5F" w:rsidRDefault="00F3434A" w:rsidP="0084323D">
            <w:pPr>
              <w:spacing w:before="120" w:after="120"/>
              <w:jc w:val="both"/>
            </w:pPr>
          </w:p>
        </w:tc>
      </w:tr>
      <w:tr w:rsidR="00F3434A" w:rsidRPr="00284C5F" w14:paraId="289E9BB5" w14:textId="77777777" w:rsidTr="00507296">
        <w:tc>
          <w:tcPr>
            <w:tcW w:w="2790" w:type="dxa"/>
          </w:tcPr>
          <w:p w14:paraId="6E89EAB7" w14:textId="17B10F5B" w:rsidR="00F3434A" w:rsidRPr="00284C5F" w:rsidRDefault="00F3434A" w:rsidP="0084323D">
            <w:pPr>
              <w:spacing w:before="120" w:after="120"/>
              <w:rPr>
                <w:b/>
              </w:rPr>
            </w:pPr>
            <w:r w:rsidRPr="00284C5F">
              <w:rPr>
                <w:b/>
              </w:rPr>
              <w:t>Buyer:</w:t>
            </w:r>
          </w:p>
        </w:tc>
        <w:tc>
          <w:tcPr>
            <w:tcW w:w="7180" w:type="dxa"/>
          </w:tcPr>
          <w:p w14:paraId="3BFE5F66" w14:textId="72A94309" w:rsidR="00AC0EF7" w:rsidRPr="00284C5F" w:rsidRDefault="00C3644A" w:rsidP="0084323D">
            <w:pPr>
              <w:spacing w:before="120" w:after="120"/>
              <w:jc w:val="both"/>
            </w:pPr>
            <w:r w:rsidRPr="00284C5F">
              <w:t>Peninsula Clean Energy Authority, a California joint powers authority</w:t>
            </w:r>
          </w:p>
        </w:tc>
      </w:tr>
      <w:tr w:rsidR="00536AAD" w:rsidRPr="00284C5F" w14:paraId="1FFEF7F6" w14:textId="77777777" w:rsidTr="00507296">
        <w:tc>
          <w:tcPr>
            <w:tcW w:w="2790" w:type="dxa"/>
          </w:tcPr>
          <w:p w14:paraId="66C7BBE3" w14:textId="4555BA13" w:rsidR="00536AAD" w:rsidRPr="00284C5F" w:rsidRDefault="00536AAD" w:rsidP="0084323D">
            <w:pPr>
              <w:spacing w:before="120" w:after="120"/>
              <w:rPr>
                <w:b/>
              </w:rPr>
            </w:pPr>
            <w:r w:rsidRPr="00284C5F">
              <w:rPr>
                <w:b/>
              </w:rPr>
              <w:t>Defin</w:t>
            </w:r>
            <w:r w:rsidR="006D3753" w:rsidRPr="00284C5F">
              <w:rPr>
                <w:b/>
              </w:rPr>
              <w:t>ed Terms</w:t>
            </w:r>
            <w:r w:rsidR="00491EBE" w:rsidRPr="00284C5F">
              <w:rPr>
                <w:b/>
              </w:rPr>
              <w:t>:</w:t>
            </w:r>
          </w:p>
        </w:tc>
        <w:tc>
          <w:tcPr>
            <w:tcW w:w="7180" w:type="dxa"/>
          </w:tcPr>
          <w:p w14:paraId="177FE19D" w14:textId="040907F3" w:rsidR="00536AAD" w:rsidRPr="00284C5F" w:rsidRDefault="00885D45" w:rsidP="0084323D">
            <w:pPr>
              <w:spacing w:before="120" w:after="120"/>
              <w:jc w:val="both"/>
            </w:pPr>
            <w:r w:rsidRPr="00284C5F">
              <w:t xml:space="preserve">Please see the </w:t>
            </w:r>
            <w:r w:rsidR="00DC36A7" w:rsidRPr="00284C5F">
              <w:t>Definitions section below</w:t>
            </w:r>
            <w:r w:rsidR="008F6FD9" w:rsidRPr="00284C5F">
              <w:t xml:space="preserve"> for additional definitions</w:t>
            </w:r>
            <w:r w:rsidR="00DC36A7" w:rsidRPr="00284C5F">
              <w:t>.</w:t>
            </w:r>
          </w:p>
        </w:tc>
      </w:tr>
      <w:tr w:rsidR="00A730A0" w:rsidRPr="00284C5F" w14:paraId="753ABE9E" w14:textId="77777777" w:rsidTr="00507296">
        <w:tc>
          <w:tcPr>
            <w:tcW w:w="2790" w:type="dxa"/>
          </w:tcPr>
          <w:p w14:paraId="05F3AD9B" w14:textId="4AD4494C" w:rsidR="00A730A0" w:rsidRPr="00284C5F" w:rsidRDefault="00A730A0" w:rsidP="0084323D">
            <w:pPr>
              <w:spacing w:before="120" w:after="120"/>
              <w:rPr>
                <w:b/>
              </w:rPr>
            </w:pPr>
            <w:r w:rsidRPr="00284C5F">
              <w:rPr>
                <w:b/>
              </w:rPr>
              <w:t>Description of Facility:</w:t>
            </w:r>
          </w:p>
        </w:tc>
        <w:tc>
          <w:tcPr>
            <w:tcW w:w="7180" w:type="dxa"/>
          </w:tcPr>
          <w:p w14:paraId="7057D95D" w14:textId="49918EB0" w:rsidR="009F26B0" w:rsidRPr="00884692" w:rsidRDefault="00A730A0" w:rsidP="0084323D">
            <w:pPr>
              <w:spacing w:before="120" w:after="120"/>
              <w:jc w:val="both"/>
              <w:rPr>
                <w:color w:val="000000" w:themeColor="text1"/>
              </w:rPr>
            </w:pPr>
            <w:r w:rsidRPr="00284C5F">
              <w:rPr>
                <w:bCs/>
              </w:rPr>
              <w:t xml:space="preserve">A </w:t>
            </w:r>
            <w:r w:rsidR="00130F92">
              <w:rPr>
                <w:bCs/>
              </w:rPr>
              <w:t xml:space="preserve">new </w:t>
            </w:r>
            <w:r w:rsidRPr="00284C5F">
              <w:rPr>
                <w:bCs/>
              </w:rPr>
              <w:t>[</w:t>
            </w:r>
            <w:r w:rsidRPr="00284C5F">
              <w:rPr>
                <w:bCs/>
                <w:highlight w:val="lightGray"/>
              </w:rPr>
              <w:t>X</w:t>
            </w:r>
            <w:r w:rsidRPr="00284C5F">
              <w:rPr>
                <w:bCs/>
              </w:rPr>
              <w:t xml:space="preserve">] MW </w:t>
            </w:r>
            <w:r w:rsidR="00B50C48">
              <w:rPr>
                <w:bCs/>
              </w:rPr>
              <w:t>RPS-</w:t>
            </w:r>
            <w:proofErr w:type="spellStart"/>
            <w:r w:rsidR="00B50C48">
              <w:rPr>
                <w:bCs/>
              </w:rPr>
              <w:t>elibible</w:t>
            </w:r>
            <w:proofErr w:type="spellEnd"/>
            <w:r w:rsidR="00B50C48">
              <w:rPr>
                <w:bCs/>
              </w:rPr>
              <w:t xml:space="preserve"> </w:t>
            </w:r>
            <w:r w:rsidRPr="00284C5F">
              <w:rPr>
                <w:bCs/>
              </w:rPr>
              <w:t>[</w:t>
            </w:r>
            <w:r w:rsidRPr="00284C5F">
              <w:rPr>
                <w:bCs/>
                <w:highlight w:val="lightGray"/>
              </w:rPr>
              <w:t xml:space="preserve">solar </w:t>
            </w:r>
            <w:proofErr w:type="gramStart"/>
            <w:r w:rsidRPr="00284C5F">
              <w:rPr>
                <w:bCs/>
                <w:highlight w:val="lightGray"/>
              </w:rPr>
              <w:t>photovoltaic</w:t>
            </w:r>
            <w:r w:rsidRPr="00284C5F">
              <w:rPr>
                <w:bCs/>
              </w:rPr>
              <w:t>][</w:t>
            </w:r>
            <w:proofErr w:type="gramEnd"/>
            <w:r w:rsidRPr="00284C5F">
              <w:rPr>
                <w:bCs/>
                <w:highlight w:val="lightGray"/>
              </w:rPr>
              <w:t>wind</w:t>
            </w:r>
            <w:r w:rsidRPr="00284C5F">
              <w:rPr>
                <w:bCs/>
              </w:rPr>
              <w:t>]</w:t>
            </w:r>
            <w:r w:rsidR="00832438" w:rsidRPr="00284C5F">
              <w:rPr>
                <w:bCs/>
              </w:rPr>
              <w:t>[</w:t>
            </w:r>
            <w:r w:rsidR="004260D4">
              <w:t xml:space="preserve"> </w:t>
            </w:r>
            <w:r w:rsidR="00130F92" w:rsidRPr="00310C31">
              <w:rPr>
                <w:highlight w:val="lightGray"/>
              </w:rPr>
              <w:t>hydroelectric</w:t>
            </w:r>
            <w:r w:rsidR="00832438" w:rsidRPr="00284C5F">
              <w:rPr>
                <w:bCs/>
              </w:rPr>
              <w:t>][</w:t>
            </w:r>
            <w:r w:rsidR="00130F92" w:rsidRPr="00310C31">
              <w:rPr>
                <w:bCs/>
                <w:highlight w:val="lightGray"/>
              </w:rPr>
              <w:t xml:space="preserve"> biogas</w:t>
            </w:r>
            <w:r w:rsidR="00832438" w:rsidRPr="00284C5F">
              <w:rPr>
                <w:bCs/>
              </w:rPr>
              <w:t>]</w:t>
            </w:r>
            <w:r w:rsidRPr="00284C5F">
              <w:rPr>
                <w:bCs/>
              </w:rPr>
              <w:t xml:space="preserve"> project located in </w:t>
            </w:r>
            <w:r w:rsidRPr="00284C5F">
              <w:rPr>
                <w:bCs/>
                <w:highlight w:val="lightGray"/>
              </w:rPr>
              <w:t>___________</w:t>
            </w:r>
            <w:r w:rsidRPr="00284C5F">
              <w:rPr>
                <w:bCs/>
              </w:rPr>
              <w:t xml:space="preserve"> County, in the State of </w:t>
            </w:r>
            <w:r w:rsidR="003A7722">
              <w:rPr>
                <w:bCs/>
              </w:rPr>
              <w:t xml:space="preserve">California </w:t>
            </w:r>
            <w:r w:rsidR="00EB58BC" w:rsidRPr="00284C5F">
              <w:rPr>
                <w:bCs/>
              </w:rPr>
              <w:t>(</w:t>
            </w:r>
            <w:r w:rsidR="00EB58BC">
              <w:rPr>
                <w:bCs/>
              </w:rPr>
              <w:t xml:space="preserve">as used herein, </w:t>
            </w:r>
            <w:r w:rsidR="00EB58BC" w:rsidRPr="00284C5F">
              <w:rPr>
                <w:bCs/>
              </w:rPr>
              <w:t xml:space="preserve">the </w:t>
            </w:r>
            <w:r w:rsidR="00EB58BC" w:rsidRPr="00284C5F">
              <w:rPr>
                <w:color w:val="000000" w:themeColor="text1"/>
              </w:rPr>
              <w:t>“</w:t>
            </w:r>
            <w:r w:rsidR="00EB58BC" w:rsidRPr="00284C5F">
              <w:rPr>
                <w:b/>
                <w:color w:val="000000" w:themeColor="text1"/>
                <w:u w:val="single"/>
              </w:rPr>
              <w:t xml:space="preserve">Generating </w:t>
            </w:r>
            <w:r w:rsidR="00EB58BC" w:rsidRPr="00284C5F">
              <w:rPr>
                <w:b/>
                <w:bCs/>
                <w:color w:val="000000" w:themeColor="text1"/>
                <w:u w:val="single"/>
              </w:rPr>
              <w:t>Facility</w:t>
            </w:r>
            <w:r w:rsidR="00EB58BC" w:rsidRPr="00284C5F">
              <w:rPr>
                <w:color w:val="000000" w:themeColor="text1"/>
              </w:rPr>
              <w:t>”</w:t>
            </w:r>
            <w:r w:rsidR="00EB58BC">
              <w:rPr>
                <w:color w:val="000000" w:themeColor="text1"/>
              </w:rPr>
              <w:t xml:space="preserve"> or the </w:t>
            </w:r>
            <w:r w:rsidR="00EB58BC" w:rsidRPr="00284C5F">
              <w:rPr>
                <w:color w:val="000000" w:themeColor="text1"/>
              </w:rPr>
              <w:t>“</w:t>
            </w:r>
            <w:r w:rsidR="00EB58BC" w:rsidRPr="00284C5F">
              <w:rPr>
                <w:b/>
                <w:bCs/>
                <w:color w:val="000000" w:themeColor="text1"/>
                <w:u w:val="single"/>
              </w:rPr>
              <w:t>Facility</w:t>
            </w:r>
            <w:r w:rsidR="00EB58BC" w:rsidRPr="00284C5F">
              <w:rPr>
                <w:color w:val="000000" w:themeColor="text1"/>
              </w:rPr>
              <w:t>”)</w:t>
            </w:r>
            <w:r w:rsidRPr="00284C5F">
              <w:t>.</w:t>
            </w:r>
            <w:r w:rsidRPr="00284C5F">
              <w:rPr>
                <w:color w:val="000000" w:themeColor="text1"/>
              </w:rPr>
              <w:t xml:space="preserve"> </w:t>
            </w:r>
            <w:r w:rsidR="004257DF">
              <w:rPr>
                <w:color w:val="000000" w:themeColor="text1"/>
              </w:rPr>
              <w:t xml:space="preserve">The Facility shall comply with </w:t>
            </w:r>
            <w:r w:rsidR="004257DF">
              <w:t>California Air Resources Board’s Voluntary Renewable Electricity Program.</w:t>
            </w:r>
            <w:r w:rsidR="005E286E">
              <w:t xml:space="preserve">  The Facility shall </w:t>
            </w:r>
            <w:r w:rsidR="00B60CA3">
              <w:t xml:space="preserve">not be a CAISO Participating Generator </w:t>
            </w:r>
            <w:r w:rsidR="005E286E">
              <w:t>and may not serve any on-site or other loads, other than Facility station loads.</w:t>
            </w:r>
          </w:p>
        </w:tc>
      </w:tr>
      <w:tr w:rsidR="002C2319" w:rsidRPr="00284C5F" w14:paraId="48EBA0BB" w14:textId="77777777" w:rsidTr="00507296">
        <w:tc>
          <w:tcPr>
            <w:tcW w:w="2790" w:type="dxa"/>
          </w:tcPr>
          <w:p w14:paraId="07AC79AB" w14:textId="79A4E6FF" w:rsidR="002C2319" w:rsidRPr="00284C5F" w:rsidRDefault="002C2319" w:rsidP="00BF3DA4">
            <w:pPr>
              <w:spacing w:before="120" w:after="120"/>
              <w:rPr>
                <w:b/>
              </w:rPr>
            </w:pPr>
            <w:r>
              <w:rPr>
                <w:b/>
              </w:rPr>
              <w:t>Site Location:</w:t>
            </w:r>
          </w:p>
        </w:tc>
        <w:tc>
          <w:tcPr>
            <w:tcW w:w="7180" w:type="dxa"/>
          </w:tcPr>
          <w:p w14:paraId="7EC439D5" w14:textId="02B756BA" w:rsidR="003D5879" w:rsidRPr="00284C5F" w:rsidRDefault="003D5879" w:rsidP="00BF3DA4">
            <w:pPr>
              <w:spacing w:before="120" w:after="120"/>
              <w:jc w:val="both"/>
            </w:pPr>
            <w:r>
              <w:t xml:space="preserve">The Facility’s Site shall be located in </w:t>
            </w:r>
            <w:r w:rsidR="004260D4">
              <w:t xml:space="preserve">the </w:t>
            </w:r>
            <w:proofErr w:type="gramStart"/>
            <w:r w:rsidR="004260D4">
              <w:t xml:space="preserve">following </w:t>
            </w:r>
            <w:r>
              <w:t xml:space="preserve"> Disadvantaged</w:t>
            </w:r>
            <w:proofErr w:type="gramEnd"/>
            <w:r>
              <w:t xml:space="preserve"> Community in PG&amp;E’s service territory as set forth in the </w:t>
            </w:r>
            <w:proofErr w:type="spellStart"/>
            <w:r>
              <w:t>CalEnviroscreen</w:t>
            </w:r>
            <w:proofErr w:type="spellEnd"/>
            <w:r>
              <w:t xml:space="preserve"> </w:t>
            </w:r>
            <w:r w:rsidR="00FD08A5">
              <w:t>4</w:t>
            </w:r>
            <w:r>
              <w:t>.0 system (“</w:t>
            </w:r>
            <w:r w:rsidRPr="003D5879">
              <w:rPr>
                <w:b/>
                <w:bCs/>
                <w:u w:val="single"/>
              </w:rPr>
              <w:t>DAC</w:t>
            </w:r>
            <w:r>
              <w:t>”)</w:t>
            </w:r>
            <w:r w:rsidR="004260D4">
              <w:t>: ______________</w:t>
            </w:r>
            <w:r w:rsidR="00692B3F">
              <w:t>, Census Tract Number ________________</w:t>
            </w:r>
          </w:p>
        </w:tc>
      </w:tr>
      <w:tr w:rsidR="007F75CA" w:rsidRPr="00284C5F" w14:paraId="6EE50CCD" w14:textId="77777777" w:rsidTr="00507296">
        <w:tc>
          <w:tcPr>
            <w:tcW w:w="2790" w:type="dxa"/>
          </w:tcPr>
          <w:p w14:paraId="26766776" w14:textId="017E391A" w:rsidR="007F75CA" w:rsidRPr="00284C5F" w:rsidRDefault="007F75CA" w:rsidP="00BF3DA4">
            <w:pPr>
              <w:spacing w:before="120" w:after="120"/>
              <w:rPr>
                <w:b/>
              </w:rPr>
            </w:pPr>
            <w:r>
              <w:rPr>
                <w:b/>
              </w:rPr>
              <w:lastRenderedPageBreak/>
              <w:t>DAC-GT Qualification</w:t>
            </w:r>
            <w:r w:rsidR="005E286E">
              <w:rPr>
                <w:b/>
              </w:rPr>
              <w:t>:</w:t>
            </w:r>
          </w:p>
        </w:tc>
        <w:tc>
          <w:tcPr>
            <w:tcW w:w="7180" w:type="dxa"/>
          </w:tcPr>
          <w:p w14:paraId="276BD55D" w14:textId="650C8282" w:rsidR="007F75CA" w:rsidRPr="00284C5F" w:rsidRDefault="007F75CA" w:rsidP="00BF3DA4">
            <w:pPr>
              <w:spacing w:before="120" w:after="120"/>
              <w:jc w:val="both"/>
            </w:pPr>
            <w:r>
              <w:t xml:space="preserve">The Facility shall </w:t>
            </w:r>
            <w:r w:rsidRPr="007F75CA">
              <w:t xml:space="preserve">qualify as a DAC-GT Project pursuant to </w:t>
            </w:r>
            <w:r>
              <w:t xml:space="preserve">CPUC Decisions </w:t>
            </w:r>
            <w:r w:rsidRPr="007F75CA">
              <w:t>18-06-027, 18-10-007, and Resolution E-4999.</w:t>
            </w:r>
          </w:p>
        </w:tc>
      </w:tr>
      <w:tr w:rsidR="00BF3DA4" w:rsidRPr="00284C5F" w14:paraId="400BDF85" w14:textId="77777777" w:rsidTr="00507296">
        <w:tc>
          <w:tcPr>
            <w:tcW w:w="2790" w:type="dxa"/>
          </w:tcPr>
          <w:p w14:paraId="32E7ACD6" w14:textId="026B7597" w:rsidR="00BF3DA4" w:rsidRPr="00284C5F" w:rsidRDefault="00BF3DA4" w:rsidP="00BF3DA4">
            <w:pPr>
              <w:spacing w:before="120" w:after="120"/>
              <w:rPr>
                <w:b/>
              </w:rPr>
            </w:pPr>
            <w:r w:rsidRPr="00284C5F">
              <w:rPr>
                <w:b/>
              </w:rPr>
              <w:t xml:space="preserve">Product: </w:t>
            </w:r>
          </w:p>
        </w:tc>
        <w:tc>
          <w:tcPr>
            <w:tcW w:w="7180" w:type="dxa"/>
          </w:tcPr>
          <w:p w14:paraId="6F8AC538" w14:textId="77777777" w:rsidR="00BF3DA4" w:rsidRPr="00284C5F" w:rsidRDefault="00BF3DA4" w:rsidP="00BF3DA4">
            <w:pPr>
              <w:spacing w:before="120" w:after="120"/>
              <w:jc w:val="both"/>
            </w:pPr>
            <w:r w:rsidRPr="00284C5F">
              <w:t>The “</w:t>
            </w:r>
            <w:r w:rsidRPr="00284C5F">
              <w:rPr>
                <w:b/>
                <w:u w:val="single"/>
              </w:rPr>
              <w:t>Product</w:t>
            </w:r>
            <w:r w:rsidRPr="00284C5F">
              <w:t>” shall meet the Portfolio Content Category 1 specifications, and includes all of the following:</w:t>
            </w:r>
          </w:p>
          <w:p w14:paraId="39BCEB5C" w14:textId="4A10AA3F" w:rsidR="00BF3DA4" w:rsidRPr="00284C5F" w:rsidRDefault="00BF3DA4" w:rsidP="00BE4816">
            <w:pPr>
              <w:pStyle w:val="ListParagraph"/>
              <w:numPr>
                <w:ilvl w:val="0"/>
                <w:numId w:val="15"/>
              </w:numPr>
              <w:spacing w:before="120" w:after="120"/>
              <w:ind w:hanging="720"/>
              <w:contextualSpacing w:val="0"/>
              <w:jc w:val="both"/>
            </w:pPr>
            <w:r w:rsidRPr="00284C5F">
              <w:t xml:space="preserve">Delivered Energy: All of the electric energy generated by the </w:t>
            </w:r>
            <w:r w:rsidR="00DD2EEE" w:rsidRPr="00284C5F">
              <w:t>Generating Facility</w:t>
            </w:r>
            <w:r w:rsidRPr="00284C5F">
              <w:t>, delivered to the Delivery Point</w:t>
            </w:r>
            <w:r w:rsidR="003F070D">
              <w:t xml:space="preserve"> </w:t>
            </w:r>
            <w:r w:rsidRPr="00284C5F">
              <w:t>as measured by CAISO-approved meters, pursuant to the Scheduling Requirements;</w:t>
            </w:r>
          </w:p>
          <w:p w14:paraId="1F9DF620" w14:textId="77777777" w:rsidR="00BF3DA4" w:rsidRPr="00284C5F" w:rsidRDefault="00BF3DA4" w:rsidP="00BF3DA4">
            <w:pPr>
              <w:pStyle w:val="ListParagraph"/>
              <w:numPr>
                <w:ilvl w:val="0"/>
                <w:numId w:val="15"/>
              </w:numPr>
              <w:spacing w:before="120" w:after="120"/>
              <w:ind w:hanging="720"/>
              <w:contextualSpacing w:val="0"/>
              <w:jc w:val="both"/>
            </w:pPr>
            <w:r w:rsidRPr="00284C5F">
              <w:t>Environmental Attributes: All renewable energy credits (“</w:t>
            </w:r>
            <w:r w:rsidRPr="00284C5F">
              <w:rPr>
                <w:b/>
                <w:u w:val="single"/>
              </w:rPr>
              <w:t>RECs</w:t>
            </w:r>
            <w:r w:rsidRPr="00284C5F">
              <w:t>”) and any other environmental attributes associated with Delivered Energy;</w:t>
            </w:r>
          </w:p>
          <w:p w14:paraId="09F7EAF7" w14:textId="64987568" w:rsidR="00BF3DA4" w:rsidRPr="00284C5F" w:rsidRDefault="00BF3DA4" w:rsidP="00BF3DA4">
            <w:pPr>
              <w:pStyle w:val="ListParagraph"/>
              <w:numPr>
                <w:ilvl w:val="0"/>
                <w:numId w:val="15"/>
              </w:numPr>
              <w:spacing w:before="120" w:after="120"/>
              <w:ind w:hanging="720"/>
              <w:contextualSpacing w:val="0"/>
              <w:jc w:val="both"/>
            </w:pPr>
            <w:r w:rsidRPr="00284C5F">
              <w:t xml:space="preserve">Capacity </w:t>
            </w:r>
            <w:r w:rsidR="00DD2EEE" w:rsidRPr="00284C5F">
              <w:t>Attributes</w:t>
            </w:r>
            <w:r w:rsidRPr="00284C5F">
              <w:t xml:space="preserve">: All capacity rights, including resource adequacy benefits, if any, associated with the Facility; </w:t>
            </w:r>
            <w:r w:rsidR="00E8151C">
              <w:t>and</w:t>
            </w:r>
          </w:p>
          <w:p w14:paraId="06FDC832" w14:textId="405AFA37" w:rsidR="00BF3DA4" w:rsidRPr="00284C5F" w:rsidRDefault="00BF3DA4" w:rsidP="008D7736">
            <w:pPr>
              <w:pStyle w:val="ListParagraph"/>
              <w:numPr>
                <w:ilvl w:val="0"/>
                <w:numId w:val="15"/>
              </w:numPr>
              <w:spacing w:before="120" w:after="120"/>
              <w:ind w:hanging="720"/>
              <w:contextualSpacing w:val="0"/>
              <w:jc w:val="both"/>
            </w:pPr>
            <w:r w:rsidRPr="00284C5F">
              <w:t xml:space="preserve">Ancillary Services: All ancillary services, products and other attributes, if any, </w:t>
            </w:r>
            <w:r w:rsidR="00DD2EEE" w:rsidRPr="00284C5F">
              <w:t>that may be obtained from</w:t>
            </w:r>
            <w:r w:rsidRPr="00284C5F">
              <w:t xml:space="preserve"> the Facility.</w:t>
            </w:r>
          </w:p>
          <w:p w14:paraId="7BDF494C" w14:textId="50F5DE0F" w:rsidR="00BF3DA4" w:rsidRPr="00284C5F" w:rsidRDefault="00BF3DA4" w:rsidP="00BF3DA4">
            <w:pPr>
              <w:spacing w:before="120" w:after="120"/>
              <w:jc w:val="both"/>
            </w:pPr>
            <w:r w:rsidRPr="00284C5F">
              <w:t>Specifications for Portfolio Content Category 1 are described in California Public Utilities Code §399.16, California Public Utilities Commission Decision 11-12-052, and other applicable statutes, regulations, and regulatory orders.</w:t>
            </w:r>
          </w:p>
        </w:tc>
      </w:tr>
      <w:tr w:rsidR="00BF3DA4" w:rsidRPr="00284C5F" w14:paraId="34FDE71F" w14:textId="77777777" w:rsidTr="00507296">
        <w:tc>
          <w:tcPr>
            <w:tcW w:w="2790" w:type="dxa"/>
          </w:tcPr>
          <w:p w14:paraId="06F8CEF6" w14:textId="4AB1E199" w:rsidR="00BF3DA4" w:rsidRPr="00284C5F" w:rsidRDefault="00BF3DA4" w:rsidP="00BF3DA4">
            <w:pPr>
              <w:spacing w:before="120" w:after="120"/>
              <w:rPr>
                <w:b/>
              </w:rPr>
            </w:pPr>
            <w:r w:rsidRPr="00284C5F">
              <w:rPr>
                <w:b/>
              </w:rPr>
              <w:t>Guaranteed Capacity:</w:t>
            </w:r>
          </w:p>
        </w:tc>
        <w:tc>
          <w:tcPr>
            <w:tcW w:w="7180" w:type="dxa"/>
          </w:tcPr>
          <w:p w14:paraId="1228742F" w14:textId="55D274DE" w:rsidR="00BF3DA4" w:rsidRPr="00284C5F" w:rsidRDefault="00BF3DA4" w:rsidP="00BF3DA4">
            <w:pPr>
              <w:spacing w:before="120" w:after="120"/>
              <w:jc w:val="both"/>
            </w:pPr>
            <w:r w:rsidRPr="00284C5F">
              <w:t xml:space="preserve">The Generating Facility has a </w:t>
            </w:r>
            <w:r w:rsidR="00D06699">
              <w:t>guaranteed capacity</w:t>
            </w:r>
            <w:r w:rsidRPr="00284C5F">
              <w:t xml:space="preserve"> of </w:t>
            </w:r>
            <w:r w:rsidRPr="00284C5F">
              <w:rPr>
                <w:bCs/>
              </w:rPr>
              <w:t>[</w:t>
            </w:r>
            <w:r w:rsidRPr="00284C5F">
              <w:rPr>
                <w:bCs/>
                <w:highlight w:val="lightGray"/>
              </w:rPr>
              <w:t>XX</w:t>
            </w:r>
            <w:r w:rsidRPr="00284C5F">
              <w:rPr>
                <w:bCs/>
              </w:rPr>
              <w:t>]</w:t>
            </w:r>
            <w:r w:rsidRPr="00284C5F">
              <w:t xml:space="preserve"> MW</w:t>
            </w:r>
            <w:r w:rsidR="00D06699">
              <w:t xml:space="preserve"> (the “</w:t>
            </w:r>
            <w:r w:rsidR="00D06699" w:rsidRPr="00D06699">
              <w:rPr>
                <w:b/>
                <w:bCs/>
              </w:rPr>
              <w:t>Guaranteed Capacity</w:t>
            </w:r>
            <w:r w:rsidR="00D06699">
              <w:t>”)</w:t>
            </w:r>
            <w:r w:rsidRPr="00284C5F">
              <w:t>.</w:t>
            </w:r>
            <w:r w:rsidR="00304018">
              <w:t xml:space="preserve"> [</w:t>
            </w:r>
            <w:r w:rsidR="00304018" w:rsidRPr="00310C31">
              <w:rPr>
                <w:i/>
                <w:iCs/>
              </w:rPr>
              <w:t xml:space="preserve">Guaranteed Capacity must be </w:t>
            </w:r>
            <w:r w:rsidR="00B60CA3">
              <w:rPr>
                <w:i/>
                <w:iCs/>
              </w:rPr>
              <w:t xml:space="preserve">less </w:t>
            </w:r>
            <w:r w:rsidR="00304018" w:rsidRPr="00310C31">
              <w:rPr>
                <w:i/>
                <w:iCs/>
              </w:rPr>
              <w:t>than 1 MW.</w:t>
            </w:r>
            <w:r w:rsidR="00304018">
              <w:t>]</w:t>
            </w:r>
          </w:p>
        </w:tc>
      </w:tr>
      <w:tr w:rsidR="00692B3F" w:rsidRPr="00284C5F" w14:paraId="6E3A508A" w14:textId="77777777" w:rsidTr="00636813">
        <w:tc>
          <w:tcPr>
            <w:tcW w:w="2790" w:type="dxa"/>
          </w:tcPr>
          <w:p w14:paraId="6DAFD320" w14:textId="77777777" w:rsidR="00692B3F" w:rsidRDefault="00692B3F" w:rsidP="00636813">
            <w:pPr>
              <w:spacing w:before="120" w:after="120"/>
              <w:rPr>
                <w:b/>
              </w:rPr>
            </w:pPr>
            <w:r>
              <w:rPr>
                <w:b/>
              </w:rPr>
              <w:t>Interconnection Status:</w:t>
            </w:r>
          </w:p>
        </w:tc>
        <w:tc>
          <w:tcPr>
            <w:tcW w:w="7180" w:type="dxa"/>
          </w:tcPr>
          <w:p w14:paraId="0D4369B1" w14:textId="1DDE5C2B" w:rsidR="00692B3F" w:rsidRDefault="00692B3F" w:rsidP="00636813">
            <w:pPr>
              <w:spacing w:before="120" w:after="120"/>
              <w:jc w:val="both"/>
            </w:pPr>
            <w:r>
              <w:t>[Describe status of interconnection studies/agreement].   The Facility will be interconnected as a wholesale generator; Rule 21 interconnection is expressly prohibited.</w:t>
            </w:r>
          </w:p>
        </w:tc>
      </w:tr>
      <w:tr w:rsidR="00884692" w:rsidRPr="00284C5F" w14:paraId="74A70BC6" w14:textId="77777777" w:rsidTr="00507296">
        <w:tc>
          <w:tcPr>
            <w:tcW w:w="2790" w:type="dxa"/>
          </w:tcPr>
          <w:p w14:paraId="4A9B4C4B" w14:textId="47002185" w:rsidR="00884692" w:rsidRPr="00884692" w:rsidRDefault="00884692" w:rsidP="00DD4DEC">
            <w:pPr>
              <w:spacing w:before="120" w:after="120"/>
              <w:rPr>
                <w:bCs/>
              </w:rPr>
            </w:pPr>
            <w:r w:rsidRPr="00884692">
              <w:rPr>
                <w:b/>
              </w:rPr>
              <w:t>Interconnection Capacity</w:t>
            </w:r>
            <w:r>
              <w:rPr>
                <w:bCs/>
              </w:rPr>
              <w:t>:</w:t>
            </w:r>
          </w:p>
        </w:tc>
        <w:tc>
          <w:tcPr>
            <w:tcW w:w="7180" w:type="dxa"/>
          </w:tcPr>
          <w:p w14:paraId="42CAAEF7" w14:textId="1B76904A" w:rsidR="00884692" w:rsidRPr="00284C5F" w:rsidRDefault="00884692" w:rsidP="00DD4DEC">
            <w:pPr>
              <w:spacing w:before="120" w:after="120"/>
              <w:jc w:val="both"/>
              <w:rPr>
                <w:color w:val="000000" w:themeColor="text1"/>
              </w:rPr>
            </w:pPr>
            <w:r>
              <w:t>The Facility has</w:t>
            </w:r>
            <w:r w:rsidR="00FB7F61">
              <w:t>, or will obtain by the Commercial Operation Date,</w:t>
            </w:r>
            <w:r>
              <w:t xml:space="preserve"> </w:t>
            </w:r>
            <w:r w:rsidRPr="00284C5F">
              <w:rPr>
                <w:bCs/>
              </w:rPr>
              <w:t>[</w:t>
            </w:r>
            <w:r w:rsidRPr="00284C5F">
              <w:rPr>
                <w:bCs/>
                <w:highlight w:val="lightGray"/>
              </w:rPr>
              <w:t>XX</w:t>
            </w:r>
            <w:r w:rsidRPr="00284C5F">
              <w:rPr>
                <w:bCs/>
              </w:rPr>
              <w:t>] MW</w:t>
            </w:r>
            <w:r>
              <w:rPr>
                <w:bCs/>
              </w:rPr>
              <w:t xml:space="preserve"> of dedicated interconnection capacity.</w:t>
            </w:r>
          </w:p>
        </w:tc>
      </w:tr>
      <w:tr w:rsidR="00E159F3" w:rsidRPr="00284C5F" w14:paraId="18E9BCCB" w14:textId="77777777" w:rsidTr="00507296">
        <w:tc>
          <w:tcPr>
            <w:tcW w:w="2790" w:type="dxa"/>
          </w:tcPr>
          <w:p w14:paraId="51811845" w14:textId="6B771B56" w:rsidR="00E159F3" w:rsidRPr="00284C5F" w:rsidRDefault="00E159F3" w:rsidP="00E159F3">
            <w:pPr>
              <w:spacing w:before="120" w:after="120"/>
              <w:rPr>
                <w:b/>
              </w:rPr>
            </w:pPr>
            <w:r w:rsidRPr="00284C5F">
              <w:rPr>
                <w:b/>
              </w:rPr>
              <w:t>Delivery Term:</w:t>
            </w:r>
          </w:p>
        </w:tc>
        <w:tc>
          <w:tcPr>
            <w:tcW w:w="7180" w:type="dxa"/>
          </w:tcPr>
          <w:p w14:paraId="608CE994" w14:textId="0CB54328" w:rsidR="00E159F3" w:rsidRPr="00284C5F" w:rsidRDefault="00E159F3" w:rsidP="00E159F3">
            <w:pPr>
              <w:spacing w:before="120" w:after="120"/>
              <w:jc w:val="both"/>
              <w:rPr>
                <w:bCs/>
              </w:rPr>
            </w:pPr>
            <w:r w:rsidRPr="00284C5F">
              <w:t>“</w:t>
            </w:r>
            <w:r w:rsidRPr="00284C5F">
              <w:rPr>
                <w:b/>
                <w:bCs/>
                <w:u w:val="single"/>
              </w:rPr>
              <w:t>Delivery Term</w:t>
            </w:r>
            <w:r w:rsidRPr="00284C5F">
              <w:t xml:space="preserve">” means </w:t>
            </w:r>
            <w:r w:rsidRPr="00284C5F">
              <w:rPr>
                <w:bCs/>
              </w:rPr>
              <w:t>[</w:t>
            </w:r>
            <w:r w:rsidRPr="00284C5F">
              <w:rPr>
                <w:bCs/>
                <w:highlight w:val="lightGray"/>
              </w:rPr>
              <w:t>XX</w:t>
            </w:r>
            <w:r w:rsidRPr="00284C5F">
              <w:rPr>
                <w:bCs/>
              </w:rPr>
              <w:t>]</w:t>
            </w:r>
            <w:r w:rsidRPr="00284C5F">
              <w:t xml:space="preserve"> Contract Years.  </w:t>
            </w:r>
          </w:p>
        </w:tc>
      </w:tr>
      <w:tr w:rsidR="00E159F3" w:rsidRPr="00284C5F" w14:paraId="573E0815" w14:textId="77777777" w:rsidTr="00507296">
        <w:tc>
          <w:tcPr>
            <w:tcW w:w="2790" w:type="dxa"/>
          </w:tcPr>
          <w:p w14:paraId="265FC509" w14:textId="430D2003" w:rsidR="00E159F3" w:rsidRPr="00284C5F" w:rsidRDefault="00E159F3" w:rsidP="00E159F3">
            <w:pPr>
              <w:spacing w:before="120" w:after="120"/>
              <w:rPr>
                <w:b/>
              </w:rPr>
            </w:pPr>
            <w:r w:rsidRPr="00284C5F">
              <w:rPr>
                <w:b/>
              </w:rPr>
              <w:t>Expected Energy:</w:t>
            </w:r>
          </w:p>
        </w:tc>
        <w:tc>
          <w:tcPr>
            <w:tcW w:w="7180" w:type="dxa"/>
          </w:tcPr>
          <w:p w14:paraId="4316A829" w14:textId="6991EEA6" w:rsidR="00E159F3" w:rsidRPr="00284C5F" w:rsidRDefault="00E159F3" w:rsidP="00E159F3">
            <w:pPr>
              <w:spacing w:before="120" w:after="120"/>
              <w:jc w:val="both"/>
              <w:rPr>
                <w:bCs/>
              </w:rPr>
            </w:pPr>
            <w:r w:rsidRPr="00284C5F">
              <w:rPr>
                <w:bCs/>
              </w:rPr>
              <w:t>“</w:t>
            </w:r>
            <w:r w:rsidRPr="00284C5F">
              <w:rPr>
                <w:b/>
                <w:u w:val="single"/>
              </w:rPr>
              <w:t>Expected Energy</w:t>
            </w:r>
            <w:r w:rsidRPr="00284C5F">
              <w:rPr>
                <w:bCs/>
              </w:rPr>
              <w:t>”</w:t>
            </w:r>
            <w:r w:rsidRPr="00284C5F">
              <w:t xml:space="preserve"> means</w:t>
            </w:r>
            <w:r w:rsidRPr="00284C5F">
              <w:rPr>
                <w:b/>
                <w:bCs/>
              </w:rPr>
              <w:t xml:space="preserve"> </w:t>
            </w:r>
            <w:r w:rsidRPr="00284C5F">
              <w:t>[</w:t>
            </w:r>
            <w:r w:rsidRPr="00284C5F">
              <w:rPr>
                <w:highlight w:val="lightGray"/>
              </w:rPr>
              <w:t>XXX,XXX</w:t>
            </w:r>
            <w:r w:rsidRPr="00284C5F">
              <w:t>] MWh during the first Contract Year and for each Contract Year thereafter during the Delivery Term.  [</w:t>
            </w:r>
            <w:r w:rsidRPr="00284C5F">
              <w:rPr>
                <w:i/>
                <w:iCs/>
                <w:highlight w:val="lightGray"/>
              </w:rPr>
              <w:t>If there is an annual adjustment for degradation, this should be noted.</w:t>
            </w:r>
            <w:r w:rsidRPr="00284C5F">
              <w:t>]</w:t>
            </w:r>
          </w:p>
        </w:tc>
      </w:tr>
      <w:tr w:rsidR="00E159F3" w:rsidRPr="00284C5F" w14:paraId="0C5534EB" w14:textId="77777777" w:rsidTr="00507296">
        <w:tc>
          <w:tcPr>
            <w:tcW w:w="2790" w:type="dxa"/>
          </w:tcPr>
          <w:p w14:paraId="30830DBA" w14:textId="587A0364" w:rsidR="00E159F3" w:rsidRPr="00284C5F" w:rsidRDefault="00692B3F" w:rsidP="00E159F3">
            <w:pPr>
              <w:spacing w:before="120" w:after="120"/>
              <w:rPr>
                <w:b/>
              </w:rPr>
            </w:pPr>
            <w:r>
              <w:rPr>
                <w:b/>
              </w:rPr>
              <w:t>PPA</w:t>
            </w:r>
            <w:r w:rsidRPr="00284C5F">
              <w:rPr>
                <w:b/>
              </w:rPr>
              <w:t xml:space="preserve"> </w:t>
            </w:r>
            <w:r w:rsidR="00E159F3" w:rsidRPr="00284C5F">
              <w:rPr>
                <w:b/>
              </w:rPr>
              <w:t>Rate:</w:t>
            </w:r>
          </w:p>
        </w:tc>
        <w:tc>
          <w:tcPr>
            <w:tcW w:w="7180" w:type="dxa"/>
          </w:tcPr>
          <w:p w14:paraId="2EB2618D" w14:textId="061BB12E" w:rsidR="00E159F3" w:rsidRPr="00284C5F" w:rsidRDefault="00E159F3" w:rsidP="00E159F3">
            <w:pPr>
              <w:spacing w:before="120" w:after="120"/>
              <w:jc w:val="both"/>
              <w:rPr>
                <w:bCs/>
              </w:rPr>
            </w:pPr>
            <w:r w:rsidRPr="00284C5F">
              <w:t xml:space="preserve">The </w:t>
            </w:r>
            <w:r w:rsidR="00692B3F">
              <w:t>PPA</w:t>
            </w:r>
            <w:r w:rsidR="00692B3F" w:rsidRPr="00284C5F">
              <w:t xml:space="preserve"> </w:t>
            </w:r>
            <w:r w:rsidRPr="00284C5F">
              <w:t>Rate shall be $[</w:t>
            </w:r>
            <w:r w:rsidRPr="00284C5F">
              <w:rPr>
                <w:highlight w:val="lightGray"/>
              </w:rPr>
              <w:t>XX</w:t>
            </w:r>
            <w:r w:rsidRPr="00284C5F">
              <w:t>]/MWh</w:t>
            </w:r>
            <w:r w:rsidR="00523402" w:rsidRPr="00284C5F">
              <w:t>, with no escalation</w:t>
            </w:r>
            <w:r w:rsidRPr="00284C5F">
              <w:t xml:space="preserve">. </w:t>
            </w:r>
          </w:p>
        </w:tc>
      </w:tr>
      <w:tr w:rsidR="00DD4DEC" w:rsidRPr="00284C5F" w14:paraId="48368A02" w14:textId="77777777" w:rsidTr="00507296">
        <w:tc>
          <w:tcPr>
            <w:tcW w:w="2790" w:type="dxa"/>
          </w:tcPr>
          <w:p w14:paraId="40CA5A2E" w14:textId="0FD6F235" w:rsidR="00DD4DEC" w:rsidRPr="00284C5F" w:rsidRDefault="00DD4DEC" w:rsidP="00DD4DEC">
            <w:pPr>
              <w:spacing w:before="120" w:after="120"/>
              <w:rPr>
                <w:b/>
              </w:rPr>
            </w:pPr>
            <w:r w:rsidRPr="00284C5F">
              <w:rPr>
                <w:b/>
              </w:rPr>
              <w:lastRenderedPageBreak/>
              <w:t>Performance Guarantee:</w:t>
            </w:r>
          </w:p>
        </w:tc>
        <w:tc>
          <w:tcPr>
            <w:tcW w:w="7180" w:type="dxa"/>
          </w:tcPr>
          <w:p w14:paraId="4416940D" w14:textId="77777777" w:rsidR="00DD4DEC" w:rsidRPr="00284C5F" w:rsidRDefault="00DD4DEC" w:rsidP="00DD4DEC">
            <w:pPr>
              <w:pStyle w:val="Heading4"/>
              <w:numPr>
                <w:ilvl w:val="0"/>
                <w:numId w:val="0"/>
              </w:numPr>
              <w:spacing w:before="120" w:after="120"/>
              <w:ind w:right="-28"/>
              <w:outlineLvl w:val="3"/>
              <w:rPr>
                <w:color w:val="000000" w:themeColor="text1"/>
                <w:szCs w:val="24"/>
              </w:rPr>
            </w:pPr>
            <w:r w:rsidRPr="00284C5F">
              <w:rPr>
                <w:color w:val="000000" w:themeColor="text1"/>
                <w:szCs w:val="24"/>
              </w:rPr>
              <w:t>The occurrence of any of the following shall constitute an Event of Default:</w:t>
            </w:r>
          </w:p>
          <w:p w14:paraId="651F61BB" w14:textId="78406D57" w:rsidR="00663EB5" w:rsidRPr="002800DC" w:rsidRDefault="00DD4DEC" w:rsidP="002800DC">
            <w:pPr>
              <w:pStyle w:val="Heading4"/>
              <w:numPr>
                <w:ilvl w:val="0"/>
                <w:numId w:val="49"/>
              </w:numPr>
              <w:spacing w:before="120" w:after="120"/>
              <w:ind w:right="-28" w:hanging="656"/>
              <w:outlineLvl w:val="3"/>
              <w:rPr>
                <w:color w:val="000000" w:themeColor="text1"/>
                <w:szCs w:val="24"/>
              </w:rPr>
            </w:pPr>
            <w:r w:rsidRPr="004222CA">
              <w:rPr>
                <w:szCs w:val="24"/>
              </w:rPr>
              <w:t>if, beginning in the second Contract Year, the Adjusted Energy Production amount is not at least fifty percent (50%) of the Expe</w:t>
            </w:r>
            <w:r w:rsidRPr="002800DC">
              <w:rPr>
                <w:szCs w:val="24"/>
              </w:rPr>
              <w:t>cted Energy amount in any Contract Year;</w:t>
            </w:r>
            <w:r w:rsidR="004222CA" w:rsidRPr="002800DC">
              <w:rPr>
                <w:szCs w:val="24"/>
              </w:rPr>
              <w:t xml:space="preserve"> or</w:t>
            </w:r>
          </w:p>
          <w:p w14:paraId="2DF26C6E" w14:textId="278D3017" w:rsidR="00CA061A" w:rsidRPr="00284C5F" w:rsidRDefault="00DD4DEC" w:rsidP="002800DC">
            <w:pPr>
              <w:pStyle w:val="Heading4"/>
              <w:numPr>
                <w:ilvl w:val="0"/>
                <w:numId w:val="49"/>
              </w:numPr>
              <w:spacing w:before="120" w:after="120"/>
              <w:ind w:right="-28" w:hanging="656"/>
              <w:outlineLvl w:val="3"/>
              <w:rPr>
                <w:szCs w:val="24"/>
              </w:rPr>
            </w:pPr>
            <w:r w:rsidRPr="00284C5F">
              <w:rPr>
                <w:szCs w:val="24"/>
              </w:rPr>
              <w:t>if, in any two (2) consecutive Contract Years during the Delivery Term, the Adjusted Energy Production amount is not at least sixty-five percent (65%) of the Expected Energy amount in each Contract Year.</w:t>
            </w:r>
          </w:p>
        </w:tc>
      </w:tr>
      <w:tr w:rsidR="00DD4DEC" w:rsidRPr="00284C5F" w14:paraId="7604B768" w14:textId="77777777" w:rsidTr="00507296">
        <w:tc>
          <w:tcPr>
            <w:tcW w:w="2790" w:type="dxa"/>
          </w:tcPr>
          <w:p w14:paraId="521CA797" w14:textId="5DA7CD90" w:rsidR="00DD4DEC" w:rsidRPr="00284C5F" w:rsidRDefault="00DD4DEC" w:rsidP="00DD4DEC">
            <w:pPr>
              <w:spacing w:before="120" w:after="120"/>
              <w:rPr>
                <w:b/>
              </w:rPr>
            </w:pPr>
            <w:r w:rsidRPr="00284C5F">
              <w:rPr>
                <w:b/>
              </w:rPr>
              <w:t>Curtailment:</w:t>
            </w:r>
          </w:p>
        </w:tc>
        <w:tc>
          <w:tcPr>
            <w:tcW w:w="7180" w:type="dxa"/>
          </w:tcPr>
          <w:p w14:paraId="0985FA7D" w14:textId="13B1AE51" w:rsidR="00DD4DEC" w:rsidRPr="00284C5F" w:rsidRDefault="00DD4DEC" w:rsidP="00DD4DEC">
            <w:pPr>
              <w:spacing w:before="120" w:after="120"/>
              <w:jc w:val="both"/>
            </w:pPr>
            <w:r w:rsidRPr="00284C5F">
              <w:t xml:space="preserve">In the event the Facility is curtailed due to </w:t>
            </w:r>
            <w:r w:rsidR="009B3362" w:rsidRPr="00284C5F">
              <w:t xml:space="preserve">a </w:t>
            </w:r>
            <w:r w:rsidRPr="00284C5F">
              <w:t>Force Majeure</w:t>
            </w:r>
            <w:r w:rsidR="009B3362" w:rsidRPr="00284C5F">
              <w:t xml:space="preserve"> Event</w:t>
            </w:r>
            <w:r w:rsidRPr="00284C5F">
              <w:t>, by the CAISO or the transmission owner, Seller shall not be liable for failure to deliver such curtailed energy and Buyer shall not be obligated to pay for such curtailed energy.</w:t>
            </w:r>
          </w:p>
          <w:p w14:paraId="3056338F" w14:textId="6A9371C0" w:rsidR="00DD4DEC" w:rsidRPr="00284C5F" w:rsidRDefault="00DD4DEC">
            <w:pPr>
              <w:spacing w:before="120" w:after="120"/>
              <w:jc w:val="both"/>
            </w:pPr>
          </w:p>
        </w:tc>
      </w:tr>
      <w:tr w:rsidR="00532D72" w:rsidRPr="00284C5F" w14:paraId="715802A1" w14:textId="77777777" w:rsidTr="00507296">
        <w:tc>
          <w:tcPr>
            <w:tcW w:w="2790" w:type="dxa"/>
          </w:tcPr>
          <w:p w14:paraId="1B8F9288" w14:textId="1844FEA0" w:rsidR="00532D72" w:rsidRPr="00284C5F" w:rsidRDefault="00532D72" w:rsidP="00532D72">
            <w:pPr>
              <w:spacing w:before="120" w:after="120"/>
              <w:rPr>
                <w:b/>
              </w:rPr>
            </w:pPr>
            <w:r w:rsidRPr="00284C5F">
              <w:rPr>
                <w:b/>
              </w:rPr>
              <w:t>Delivery Point:</w:t>
            </w:r>
          </w:p>
        </w:tc>
        <w:tc>
          <w:tcPr>
            <w:tcW w:w="7180" w:type="dxa"/>
          </w:tcPr>
          <w:p w14:paraId="1E16F1DF" w14:textId="53645E4F" w:rsidR="004F2506" w:rsidRDefault="00532D72" w:rsidP="00532D72">
            <w:pPr>
              <w:pStyle w:val="JeffsPreferredBullets"/>
              <w:numPr>
                <w:ilvl w:val="0"/>
                <w:numId w:val="0"/>
              </w:numPr>
              <w:spacing w:before="120" w:after="120" w:line="240" w:lineRule="auto"/>
              <w:contextualSpacing w:val="0"/>
              <w:jc w:val="both"/>
              <w:rPr>
                <w:rFonts w:ascii="Times New Roman" w:hAnsi="Times New Roman" w:cs="Times New Roman"/>
                <w:sz w:val="24"/>
                <w:szCs w:val="24"/>
              </w:rPr>
            </w:pPr>
            <w:r w:rsidRPr="00284C5F">
              <w:rPr>
                <w:rFonts w:ascii="Times New Roman" w:hAnsi="Times New Roman" w:cs="Times New Roman"/>
                <w:sz w:val="24"/>
                <w:szCs w:val="24"/>
              </w:rPr>
              <w:t>“</w:t>
            </w:r>
            <w:r w:rsidRPr="00284C5F">
              <w:rPr>
                <w:rFonts w:ascii="Times New Roman" w:hAnsi="Times New Roman" w:cs="Times New Roman"/>
                <w:b/>
                <w:sz w:val="24"/>
                <w:szCs w:val="24"/>
                <w:u w:val="single"/>
              </w:rPr>
              <w:t>Delivery Point</w:t>
            </w:r>
            <w:r w:rsidRPr="00284C5F">
              <w:rPr>
                <w:rFonts w:ascii="Times New Roman" w:hAnsi="Times New Roman" w:cs="Times New Roman"/>
                <w:sz w:val="24"/>
                <w:szCs w:val="24"/>
              </w:rPr>
              <w:t>” means</w:t>
            </w:r>
            <w:r w:rsidR="007A76D8">
              <w:rPr>
                <w:rFonts w:ascii="Times New Roman" w:hAnsi="Times New Roman" w:cs="Times New Roman"/>
                <w:sz w:val="24"/>
                <w:szCs w:val="24"/>
              </w:rPr>
              <w:t xml:space="preserve"> the Interconnection Point.</w:t>
            </w:r>
          </w:p>
          <w:p w14:paraId="6DF529F8" w14:textId="5510F637" w:rsidR="004F2506" w:rsidRPr="004F2506" w:rsidRDefault="004F2506" w:rsidP="004F2506">
            <w:pPr>
              <w:pStyle w:val="JeffsPreferredBullets"/>
              <w:numPr>
                <w:ilvl w:val="0"/>
                <w:numId w:val="0"/>
              </w:numPr>
              <w:spacing w:before="120" w:after="120" w:line="240" w:lineRule="auto"/>
              <w:contextualSpacing w:val="0"/>
              <w:jc w:val="both"/>
              <w:rPr>
                <w:rFonts w:ascii="Times New Roman" w:hAnsi="Times New Roman" w:cs="Times New Roman"/>
                <w:iCs/>
                <w:sz w:val="24"/>
                <w:szCs w:val="24"/>
              </w:rPr>
            </w:pPr>
          </w:p>
        </w:tc>
      </w:tr>
      <w:tr w:rsidR="00532D72" w:rsidRPr="00284C5F" w14:paraId="5BEBB4C9" w14:textId="77777777" w:rsidTr="00507296">
        <w:tc>
          <w:tcPr>
            <w:tcW w:w="2790" w:type="dxa"/>
          </w:tcPr>
          <w:p w14:paraId="49744F44" w14:textId="57E86B4E" w:rsidR="00532D72" w:rsidRPr="00284C5F" w:rsidRDefault="00532D72" w:rsidP="00532D72">
            <w:pPr>
              <w:spacing w:before="120" w:after="120"/>
              <w:rPr>
                <w:b/>
              </w:rPr>
            </w:pPr>
            <w:r w:rsidRPr="00284C5F">
              <w:rPr>
                <w:b/>
              </w:rPr>
              <w:t>Interconnection Point:</w:t>
            </w:r>
          </w:p>
        </w:tc>
        <w:tc>
          <w:tcPr>
            <w:tcW w:w="7180" w:type="dxa"/>
          </w:tcPr>
          <w:p w14:paraId="0E11CCD5" w14:textId="0A696535" w:rsidR="00532D72" w:rsidRPr="00284C5F" w:rsidRDefault="00532D72" w:rsidP="00532D72">
            <w:pPr>
              <w:pStyle w:val="JeffsPreferredBullets"/>
              <w:numPr>
                <w:ilvl w:val="0"/>
                <w:numId w:val="0"/>
              </w:numPr>
              <w:spacing w:before="120" w:after="120" w:line="240" w:lineRule="auto"/>
              <w:contextualSpacing w:val="0"/>
              <w:jc w:val="both"/>
              <w:rPr>
                <w:rFonts w:ascii="Times New Roman" w:hAnsi="Times New Roman" w:cs="Times New Roman"/>
                <w:sz w:val="24"/>
                <w:szCs w:val="24"/>
              </w:rPr>
            </w:pPr>
            <w:r w:rsidRPr="00284C5F">
              <w:rPr>
                <w:rFonts w:ascii="Times New Roman" w:hAnsi="Times New Roman" w:cs="Times New Roman"/>
                <w:sz w:val="24"/>
                <w:szCs w:val="24"/>
              </w:rPr>
              <w:t>The Facility shall interconnect to [</w:t>
            </w:r>
            <w:r w:rsidRPr="00284C5F">
              <w:rPr>
                <w:rFonts w:ascii="Times New Roman" w:hAnsi="Times New Roman" w:cs="Times New Roman"/>
                <w:i/>
                <w:sz w:val="24"/>
                <w:szCs w:val="24"/>
                <w:highlight w:val="lightGray"/>
              </w:rPr>
              <w:t>e.g., XX substation</w:t>
            </w:r>
            <w:r w:rsidRPr="00284C5F">
              <w:rPr>
                <w:rFonts w:ascii="Times New Roman" w:hAnsi="Times New Roman" w:cs="Times New Roman"/>
                <w:sz w:val="24"/>
                <w:szCs w:val="24"/>
              </w:rPr>
              <w:t>] (the “</w:t>
            </w:r>
            <w:r w:rsidRPr="00284C5F">
              <w:rPr>
                <w:rFonts w:ascii="Times New Roman" w:hAnsi="Times New Roman" w:cs="Times New Roman"/>
                <w:b/>
                <w:sz w:val="24"/>
                <w:szCs w:val="24"/>
                <w:u w:val="single"/>
              </w:rPr>
              <w:t>Interconnection Point</w:t>
            </w:r>
            <w:r w:rsidRPr="00284C5F">
              <w:rPr>
                <w:rFonts w:ascii="Times New Roman" w:hAnsi="Times New Roman" w:cs="Times New Roman"/>
                <w:sz w:val="24"/>
                <w:szCs w:val="24"/>
              </w:rPr>
              <w:t>”). Seller shall be responsible for all costs of interconnecting the Facility to the Interconnection Point.</w:t>
            </w:r>
          </w:p>
        </w:tc>
      </w:tr>
      <w:tr w:rsidR="00532D72" w:rsidRPr="00284C5F" w14:paraId="569985A0" w14:textId="77777777" w:rsidTr="00507296">
        <w:tc>
          <w:tcPr>
            <w:tcW w:w="2790" w:type="dxa"/>
          </w:tcPr>
          <w:p w14:paraId="01B1D6BD" w14:textId="6438CD70" w:rsidR="00532D72" w:rsidRPr="00284C5F" w:rsidRDefault="00532D72" w:rsidP="00532D72">
            <w:pPr>
              <w:spacing w:before="120" w:after="120"/>
              <w:rPr>
                <w:b/>
              </w:rPr>
            </w:pPr>
            <w:r w:rsidRPr="00284C5F">
              <w:rPr>
                <w:b/>
              </w:rPr>
              <w:t>Settlement Point:</w:t>
            </w:r>
          </w:p>
        </w:tc>
        <w:tc>
          <w:tcPr>
            <w:tcW w:w="7180" w:type="dxa"/>
          </w:tcPr>
          <w:p w14:paraId="1E87B0E2" w14:textId="1D05407D" w:rsidR="00532D72" w:rsidRPr="00284C5F" w:rsidRDefault="00532D72" w:rsidP="00E75551">
            <w:pPr>
              <w:spacing w:before="120" w:after="120"/>
              <w:jc w:val="both"/>
            </w:pPr>
            <w:r w:rsidRPr="00284C5F">
              <w:t>The “</w:t>
            </w:r>
            <w:r w:rsidRPr="00284C5F">
              <w:rPr>
                <w:b/>
                <w:u w:val="single"/>
              </w:rPr>
              <w:t>Settlement Point</w:t>
            </w:r>
            <w:r w:rsidRPr="00284C5F">
              <w:t xml:space="preserve">” shall be </w:t>
            </w:r>
            <w:r w:rsidR="00281EC1">
              <w:t>the revenue meter at the point of common coupling between the Facility and the relevant Distribution or Transmission System operator.</w:t>
            </w:r>
          </w:p>
        </w:tc>
      </w:tr>
      <w:tr w:rsidR="008A0122" w:rsidRPr="00284C5F" w14:paraId="2E1A222D" w14:textId="77777777" w:rsidTr="00507296">
        <w:tc>
          <w:tcPr>
            <w:tcW w:w="2790" w:type="dxa"/>
          </w:tcPr>
          <w:p w14:paraId="64AD62FC" w14:textId="7D9F1723" w:rsidR="008A0122" w:rsidRPr="00284C5F" w:rsidRDefault="008A0122" w:rsidP="008A0122">
            <w:pPr>
              <w:spacing w:before="120" w:after="120"/>
              <w:rPr>
                <w:b/>
              </w:rPr>
            </w:pPr>
            <w:r w:rsidRPr="00284C5F">
              <w:rPr>
                <w:b/>
              </w:rPr>
              <w:t xml:space="preserve">Expected Construction Start Date: </w:t>
            </w:r>
          </w:p>
        </w:tc>
        <w:tc>
          <w:tcPr>
            <w:tcW w:w="7180" w:type="dxa"/>
          </w:tcPr>
          <w:p w14:paraId="7F6F8F84" w14:textId="77777777" w:rsidR="008A0122" w:rsidRPr="00284C5F" w:rsidRDefault="008A0122" w:rsidP="008A0122">
            <w:pPr>
              <w:spacing w:before="120" w:after="120"/>
              <w:jc w:val="both"/>
            </w:pPr>
            <w:r w:rsidRPr="00284C5F">
              <w:t>Seller reasonably expects to achieve Construction Start by the following date [</w:t>
            </w:r>
            <w:r w:rsidRPr="00284C5F">
              <w:rPr>
                <w:highlight w:val="lightGray"/>
              </w:rPr>
              <w:t>_______</w:t>
            </w:r>
            <w:r w:rsidRPr="00284C5F">
              <w:t>] (the “</w:t>
            </w:r>
            <w:r w:rsidRPr="00284C5F">
              <w:rPr>
                <w:b/>
                <w:bCs/>
                <w:u w:val="single"/>
              </w:rPr>
              <w:t>Expected Construction Start Date</w:t>
            </w:r>
            <w:r w:rsidRPr="00284C5F">
              <w:t>”).</w:t>
            </w:r>
          </w:p>
          <w:p w14:paraId="6ABB4A31" w14:textId="4FFE6D7E" w:rsidR="000260A0" w:rsidRPr="00284C5F" w:rsidRDefault="000260A0" w:rsidP="008A0122">
            <w:pPr>
              <w:spacing w:before="120" w:after="120"/>
              <w:jc w:val="both"/>
            </w:pPr>
            <w:r w:rsidRPr="00284C5F">
              <w:t>“</w:t>
            </w:r>
            <w:r w:rsidRPr="00284C5F">
              <w:rPr>
                <w:b/>
                <w:u w:val="single"/>
              </w:rPr>
              <w:t>Construction Start</w:t>
            </w:r>
            <w:r w:rsidRPr="00284C5F">
              <w:t>” will occur following Seller’s execution of an engineering, procurement and construction (EPC) contract related to the Facility and issuance of a full notice to proceed with the construction of the Facility</w:t>
            </w:r>
            <w:r w:rsidR="006D7168" w:rsidRPr="00284C5F">
              <w:t xml:space="preserve"> under the EPC contract, mobilization to site by Seller and/or its designees, and includes the physical movement of soil at the site</w:t>
            </w:r>
            <w:r w:rsidRPr="00284C5F">
              <w:t xml:space="preserve">.  </w:t>
            </w:r>
          </w:p>
        </w:tc>
      </w:tr>
      <w:tr w:rsidR="008A0122" w:rsidRPr="00284C5F" w14:paraId="0A5D9EC6" w14:textId="77777777" w:rsidTr="00507296">
        <w:tc>
          <w:tcPr>
            <w:tcW w:w="2790" w:type="dxa"/>
          </w:tcPr>
          <w:p w14:paraId="13267AEA" w14:textId="17168176" w:rsidR="008A0122" w:rsidRPr="00284C5F" w:rsidRDefault="008A0122" w:rsidP="008A0122">
            <w:pPr>
              <w:spacing w:before="120" w:after="120"/>
              <w:rPr>
                <w:b/>
              </w:rPr>
            </w:pPr>
            <w:r w:rsidRPr="00284C5F">
              <w:rPr>
                <w:b/>
              </w:rPr>
              <w:t>Guaranteed Construction Start Date:</w:t>
            </w:r>
          </w:p>
        </w:tc>
        <w:tc>
          <w:tcPr>
            <w:tcW w:w="7180" w:type="dxa"/>
          </w:tcPr>
          <w:p w14:paraId="071ED93D" w14:textId="5530CE18" w:rsidR="008A0122" w:rsidRPr="00284C5F" w:rsidRDefault="008A0122" w:rsidP="008A0122">
            <w:pPr>
              <w:spacing w:before="120" w:after="120"/>
              <w:jc w:val="both"/>
            </w:pPr>
            <w:r w:rsidRPr="00284C5F">
              <w:t>The “</w:t>
            </w:r>
            <w:r w:rsidRPr="00284C5F">
              <w:rPr>
                <w:b/>
                <w:u w:val="single"/>
              </w:rPr>
              <w:t>Guaranteed Construction Start Date</w:t>
            </w:r>
            <w:r w:rsidRPr="00284C5F">
              <w:t>” means the Expected Construction Start Date, subject to extensions on a day-for-day basis due to Force Majeure</w:t>
            </w:r>
            <w:r w:rsidR="00E475D6" w:rsidRPr="00284C5F">
              <w:t xml:space="preserve"> Event</w:t>
            </w:r>
            <w:r w:rsidR="00F03783" w:rsidRPr="00284C5F">
              <w:t xml:space="preserve"> for a period of up to</w:t>
            </w:r>
            <w:r w:rsidRPr="00284C5F">
              <w:t xml:space="preserve"> one-hundred twenty (120) days on a cumulative basis</w:t>
            </w:r>
            <w:r w:rsidR="004840CB" w:rsidRPr="00284C5F">
              <w:t xml:space="preserve"> (the “</w:t>
            </w:r>
            <w:r w:rsidR="004840CB" w:rsidRPr="00284C5F">
              <w:rPr>
                <w:b/>
                <w:bCs/>
                <w:u w:val="single"/>
              </w:rPr>
              <w:t>Development Cure Period</w:t>
            </w:r>
            <w:r w:rsidR="004840CB" w:rsidRPr="00284C5F">
              <w:t>”)</w:t>
            </w:r>
            <w:r w:rsidRPr="00284C5F">
              <w:t xml:space="preserve">.  For clarity, the permitted extensions </w:t>
            </w:r>
            <w:r w:rsidR="004840CB" w:rsidRPr="00284C5F">
              <w:t xml:space="preserve">under the </w:t>
            </w:r>
            <w:r w:rsidRPr="00284C5F">
              <w:t xml:space="preserve">Development Cure Period </w:t>
            </w:r>
            <w:r w:rsidRPr="00284C5F">
              <w:lastRenderedPageBreak/>
              <w:t>extend both the Guaranteed Construction Start Date and the Guaranteed COD simultaneously.</w:t>
            </w:r>
          </w:p>
          <w:p w14:paraId="1E94E92B" w14:textId="499C61CC" w:rsidR="008A0122" w:rsidRPr="00284C5F" w:rsidRDefault="008A0122" w:rsidP="008A0122">
            <w:pPr>
              <w:spacing w:before="120" w:after="120"/>
              <w:jc w:val="both"/>
            </w:pPr>
            <w:r w:rsidRPr="00284C5F">
              <w:rPr>
                <w:rFonts w:eastAsia="MS Mincho"/>
              </w:rPr>
              <w:t xml:space="preserve">Notwithstanding anything to the contrary, no extension shall be given </w:t>
            </w:r>
            <w:r w:rsidR="004840CB" w:rsidRPr="00284C5F">
              <w:rPr>
                <w:rFonts w:eastAsia="MS Mincho"/>
              </w:rPr>
              <w:t xml:space="preserve">under the </w:t>
            </w:r>
            <w:r w:rsidR="004840CB" w:rsidRPr="00284C5F">
              <w:t>Development Cure Period</w:t>
            </w:r>
            <w:r w:rsidR="004840CB" w:rsidRPr="00284C5F">
              <w:rPr>
                <w:rFonts w:eastAsia="MS Mincho"/>
              </w:rPr>
              <w:t xml:space="preserve"> </w:t>
            </w:r>
            <w:r w:rsidRPr="00284C5F">
              <w:rPr>
                <w:rFonts w:eastAsia="MS Mincho"/>
              </w:rPr>
              <w:t>if</w:t>
            </w:r>
            <w:r w:rsidR="00854A67" w:rsidRPr="00284C5F">
              <w:rPr>
                <w:rFonts w:eastAsia="MS Mincho"/>
              </w:rPr>
              <w:t>, and to the extent that</w:t>
            </w:r>
            <w:r w:rsidRPr="00284C5F">
              <w:rPr>
                <w:rFonts w:eastAsia="MS Mincho"/>
              </w:rPr>
              <w:t xml:space="preserve"> (i) the delay was </w:t>
            </w:r>
            <w:r w:rsidR="00854A67" w:rsidRPr="00284C5F">
              <w:rPr>
                <w:rFonts w:eastAsia="MS Mincho"/>
              </w:rPr>
              <w:t>due to</w:t>
            </w:r>
            <w:r w:rsidRPr="00284C5F">
              <w:rPr>
                <w:rFonts w:eastAsia="MS Mincho"/>
              </w:rPr>
              <w:t xml:space="preserve"> Seller’s failure to take  commercially reasonable actions to meet its requirements and deadlines</w:t>
            </w:r>
            <w:r w:rsidR="00D2026B" w:rsidRPr="00284C5F">
              <w:rPr>
                <w:rFonts w:eastAsia="MS Mincho"/>
              </w:rPr>
              <w:t xml:space="preserve"> or does not otherwise satisfy the requirements of a Force Majeure Event</w:t>
            </w:r>
            <w:r w:rsidRPr="00284C5F">
              <w:rPr>
                <w:rFonts w:eastAsia="MS Mincho"/>
              </w:rPr>
              <w:t>, (ii) Seller failed to provide requested documentation as provided below, or (iii) Seller failed to provide written notice to Buyer as required in the next sentence.  Seller shall provide prompt written notice to Buyer of a delay</w:t>
            </w:r>
            <w:r w:rsidR="00CB0D33" w:rsidRPr="00284C5F">
              <w:rPr>
                <w:rFonts w:eastAsia="MS Mincho"/>
              </w:rPr>
              <w:t xml:space="preserve"> due to a Force Majeure Event</w:t>
            </w:r>
            <w:r w:rsidRPr="00284C5F">
              <w:rPr>
                <w:rFonts w:eastAsia="MS Mincho"/>
              </w:rPr>
              <w:t>, but in no case more than thirty (30) days after Seller becomes aware of an actual delay affecting the Facility, except that in the case of a delay occurring within sixty (60) days of the Expected Commercial Operation Date, or after such date, Seller must provide written notice within seven (7) Business Days of Seller becoming aware of such delay.  As used in the preceding sentence, “actual delay” does not include Seller’s receipt of generic notices of potential delays</w:t>
            </w:r>
            <w:r w:rsidR="00B8171D" w:rsidRPr="00284C5F">
              <w:rPr>
                <w:rFonts w:eastAsia="MS Mincho"/>
              </w:rPr>
              <w:t xml:space="preserve"> due to a Force Majeure Event</w:t>
            </w:r>
            <w:r w:rsidRPr="00284C5F">
              <w:rPr>
                <w:rFonts w:eastAsia="MS Mincho"/>
              </w:rPr>
              <w:t>. Upon written request from Buyer, Seller shall provide documentation demonstrating to Buyer’s reasonable satisfaction that the delay</w:t>
            </w:r>
            <w:r w:rsidR="00031AFE" w:rsidRPr="00284C5F">
              <w:rPr>
                <w:rFonts w:eastAsia="MS Mincho"/>
              </w:rPr>
              <w:t xml:space="preserve"> was the result of a Force Majeure Event and </w:t>
            </w:r>
            <w:r w:rsidRPr="00284C5F">
              <w:rPr>
                <w:rFonts w:eastAsia="MS Mincho"/>
              </w:rPr>
              <w:t>did not result from Seller’s actions or failure to take commercially reasonable actions.</w:t>
            </w:r>
          </w:p>
          <w:p w14:paraId="51C1C8D3" w14:textId="77777777" w:rsidR="008A0122" w:rsidRPr="00284C5F" w:rsidRDefault="008A0122" w:rsidP="008A0122">
            <w:pPr>
              <w:spacing w:before="120" w:after="120"/>
              <w:jc w:val="both"/>
            </w:pPr>
            <w:r w:rsidRPr="00284C5F">
              <w:t>In the event that Seller fails to achieve the Guaranteed Construction Start Date, Seller shall pay delay damages to Buyer, (the “</w:t>
            </w:r>
            <w:r w:rsidRPr="00284C5F">
              <w:rPr>
                <w:b/>
                <w:u w:val="single"/>
              </w:rPr>
              <w:t>Daily Delay Damages</w:t>
            </w:r>
            <w:r w:rsidRPr="00284C5F">
              <w:t>”) for each day of delay, in the amount of the Development Security divided by 120.  The Daily Delay Damages shall be refundable to Seller if, and only if, Seller achieves COD on or before the Guaranteed COD.</w:t>
            </w:r>
          </w:p>
          <w:p w14:paraId="464619EE" w14:textId="117F6CC6" w:rsidR="008A0122" w:rsidRPr="00284C5F" w:rsidRDefault="008A0122" w:rsidP="00654B5F">
            <w:pPr>
              <w:spacing w:before="120" w:after="120"/>
              <w:jc w:val="both"/>
            </w:pPr>
            <w:r w:rsidRPr="00284C5F">
              <w:t xml:space="preserve">Failure to achieve Construction Start </w:t>
            </w:r>
            <w:r w:rsidR="00654B5F" w:rsidRPr="00284C5F">
              <w:t xml:space="preserve">for any reason </w:t>
            </w:r>
            <w:r w:rsidRPr="00284C5F">
              <w:t xml:space="preserve">within </w:t>
            </w:r>
            <w:r w:rsidR="00B8171D" w:rsidRPr="00284C5F">
              <w:t>120</w:t>
            </w:r>
            <w:r w:rsidR="00E622E9" w:rsidRPr="00284C5F">
              <w:t xml:space="preserve"> </w:t>
            </w:r>
            <w:r w:rsidRPr="00284C5F">
              <w:t>days of the Guaranteed Construction Start Date</w:t>
            </w:r>
            <w:r w:rsidR="00654B5F" w:rsidRPr="00284C5F">
              <w:t xml:space="preserve">, </w:t>
            </w:r>
            <w:r w:rsidRPr="00284C5F">
              <w:t xml:space="preserve">shall constitute an Event of Default, and Buyer shall have the right, in its sole discretion, to terminate the PPA and receive a damage payment in the amount of the Development Security.  </w:t>
            </w:r>
          </w:p>
        </w:tc>
      </w:tr>
      <w:tr w:rsidR="008A0122" w:rsidRPr="00284C5F" w14:paraId="0CE347C3" w14:textId="77777777" w:rsidTr="00507296">
        <w:tc>
          <w:tcPr>
            <w:tcW w:w="2790" w:type="dxa"/>
          </w:tcPr>
          <w:p w14:paraId="7C088523" w14:textId="02531883" w:rsidR="008A0122" w:rsidRPr="00284C5F" w:rsidRDefault="008A0122" w:rsidP="008A0122">
            <w:pPr>
              <w:spacing w:before="120" w:after="120"/>
              <w:rPr>
                <w:b/>
              </w:rPr>
            </w:pPr>
            <w:r w:rsidRPr="00284C5F">
              <w:rPr>
                <w:b/>
              </w:rPr>
              <w:lastRenderedPageBreak/>
              <w:t>Expected Commercial Operation Date:</w:t>
            </w:r>
          </w:p>
        </w:tc>
        <w:tc>
          <w:tcPr>
            <w:tcW w:w="7180" w:type="dxa"/>
          </w:tcPr>
          <w:p w14:paraId="6DE8892C" w14:textId="47CD18E5" w:rsidR="008A0122" w:rsidRPr="00284C5F" w:rsidRDefault="008A0122" w:rsidP="008A0122">
            <w:pPr>
              <w:spacing w:before="120" w:after="120"/>
              <w:jc w:val="both"/>
            </w:pPr>
            <w:r w:rsidRPr="00284C5F">
              <w:t>Seller reasonably expects to achieve Commercial Operation by the following date [</w:t>
            </w:r>
            <w:r w:rsidRPr="00284C5F">
              <w:rPr>
                <w:highlight w:val="lightGray"/>
              </w:rPr>
              <w:t>_______</w:t>
            </w:r>
            <w:r w:rsidRPr="00284C5F">
              <w:t>] (the “</w:t>
            </w:r>
            <w:r w:rsidRPr="00284C5F">
              <w:rPr>
                <w:b/>
                <w:bCs/>
                <w:u w:val="single"/>
              </w:rPr>
              <w:t>Expected Commercial Operation Date</w:t>
            </w:r>
            <w:r w:rsidRPr="00284C5F">
              <w:t>”).</w:t>
            </w:r>
          </w:p>
        </w:tc>
      </w:tr>
      <w:tr w:rsidR="008A0122" w:rsidRPr="00284C5F" w14:paraId="5A5A51B8" w14:textId="77777777" w:rsidTr="00507296">
        <w:tc>
          <w:tcPr>
            <w:tcW w:w="2790" w:type="dxa"/>
          </w:tcPr>
          <w:p w14:paraId="6B13DA48" w14:textId="42BE2DEF" w:rsidR="008A0122" w:rsidRPr="00284C5F" w:rsidRDefault="008A0122" w:rsidP="008A0122">
            <w:pPr>
              <w:spacing w:before="120" w:after="120"/>
              <w:rPr>
                <w:b/>
              </w:rPr>
            </w:pPr>
            <w:r w:rsidRPr="00284C5F">
              <w:rPr>
                <w:b/>
              </w:rPr>
              <w:t>Guaranteed Commercial Operation Date:</w:t>
            </w:r>
          </w:p>
        </w:tc>
        <w:tc>
          <w:tcPr>
            <w:tcW w:w="7180" w:type="dxa"/>
          </w:tcPr>
          <w:p w14:paraId="6EF8DAAC" w14:textId="2DE70F34" w:rsidR="008A0122" w:rsidRPr="00284C5F" w:rsidRDefault="008A0122" w:rsidP="008A0122">
            <w:pPr>
              <w:spacing w:before="120" w:after="120"/>
              <w:jc w:val="both"/>
            </w:pPr>
            <w:r w:rsidRPr="00284C5F">
              <w:t>The “</w:t>
            </w:r>
            <w:r w:rsidRPr="00284C5F">
              <w:rPr>
                <w:b/>
                <w:u w:val="single"/>
              </w:rPr>
              <w:t>Guaranteed Commercial Operation Date</w:t>
            </w:r>
            <w:r w:rsidRPr="00284C5F">
              <w:t>” or “</w:t>
            </w:r>
            <w:r w:rsidRPr="00284C5F">
              <w:rPr>
                <w:b/>
                <w:u w:val="single"/>
              </w:rPr>
              <w:t>Guaranteed COD</w:t>
            </w:r>
            <w:r w:rsidRPr="00284C5F">
              <w:t>” means the Expected Commercial Operation Date, subject to extensions on a day-for-day basis for the Development Cure Period</w:t>
            </w:r>
            <w:r w:rsidR="00304018">
              <w:t xml:space="preserve">; provided that the Commercial Operation Date shall occur no later than </w:t>
            </w:r>
            <w:r w:rsidR="00257A64">
              <w:t>June 30</w:t>
            </w:r>
            <w:r w:rsidR="00304018">
              <w:t>, 202</w:t>
            </w:r>
            <w:r w:rsidR="00257A64">
              <w:t>5</w:t>
            </w:r>
            <w:r w:rsidRPr="00284C5F">
              <w:t>.</w:t>
            </w:r>
          </w:p>
          <w:p w14:paraId="44923589" w14:textId="3A3D26AB" w:rsidR="008A0122" w:rsidRPr="00284C5F" w:rsidRDefault="008A0122" w:rsidP="008A0122">
            <w:pPr>
              <w:spacing w:before="120" w:after="120"/>
              <w:jc w:val="both"/>
            </w:pPr>
            <w:r w:rsidRPr="00284C5F">
              <w:lastRenderedPageBreak/>
              <w:t>If the Seller does not achieve COD of the Facility by the Guaranteed COD, Seller shall pay Delay Damages to the Buyer for each day of delay until Seller achieves COD.</w:t>
            </w:r>
          </w:p>
          <w:p w14:paraId="3B104971" w14:textId="51377F24" w:rsidR="008A0122" w:rsidRPr="00284C5F" w:rsidRDefault="008A0122" w:rsidP="008A0122">
            <w:pPr>
              <w:spacing w:before="120" w:after="120"/>
              <w:jc w:val="both"/>
            </w:pPr>
            <w:r w:rsidRPr="00284C5F">
              <w:t>“</w:t>
            </w:r>
            <w:r w:rsidRPr="00284C5F">
              <w:rPr>
                <w:b/>
                <w:u w:val="single"/>
              </w:rPr>
              <w:t>Delay Damages</w:t>
            </w:r>
            <w:r w:rsidRPr="00284C5F">
              <w:t>” are equal to the Development Security divided by 60.  Delay Damages shall be paid for each day of delay and shall be paid to Buyer in advance on a monthly basis. A prorated amount will be returned to Seller if COD is achieved during the month for which Delay Damages were paid in advance.</w:t>
            </w:r>
          </w:p>
          <w:p w14:paraId="73A9F649" w14:textId="6875B617" w:rsidR="008A0122" w:rsidRPr="00284C5F" w:rsidRDefault="008A0122" w:rsidP="007D00D5">
            <w:pPr>
              <w:spacing w:before="120" w:after="120"/>
              <w:jc w:val="both"/>
            </w:pPr>
            <w:r w:rsidRPr="00284C5F">
              <w:t xml:space="preserve">Failure to achieve COD </w:t>
            </w:r>
            <w:r w:rsidR="00654B5F" w:rsidRPr="00284C5F">
              <w:t xml:space="preserve">for any reason </w:t>
            </w:r>
            <w:r w:rsidRPr="00284C5F">
              <w:t>within 60 days of the Guaranteed COD, shall constitute an Event of Default, and Buyer shall have the right, in its sole discretion, to terminate the PPA and receive a damage payment in the amount of the Development Security</w:t>
            </w:r>
            <w:r w:rsidR="007D00D5" w:rsidRPr="00284C5F">
              <w:t xml:space="preserve"> (“</w:t>
            </w:r>
            <w:r w:rsidR="007D00D5" w:rsidRPr="00DE3DB3">
              <w:rPr>
                <w:b/>
                <w:bCs/>
                <w:u w:val="single"/>
              </w:rPr>
              <w:t>Damage Payment</w:t>
            </w:r>
            <w:r w:rsidR="007D00D5" w:rsidRPr="00284C5F">
              <w:t>”)</w:t>
            </w:r>
            <w:r w:rsidRPr="00284C5F">
              <w:t xml:space="preserve">. </w:t>
            </w:r>
            <w:r w:rsidR="007D00D5" w:rsidRPr="00284C5F">
              <w:t xml:space="preserve"> For the avoidance of doubt, Seller’s liability for an Event of Default comprising the failure to timely achieve COD shall equal the sum of any Daily</w:t>
            </w:r>
            <w:r w:rsidR="00C040E3">
              <w:t xml:space="preserve"> Delay</w:t>
            </w:r>
            <w:r w:rsidR="007D00D5" w:rsidRPr="00284C5F">
              <w:t xml:space="preserve"> Damages and Delay Damages that are due and owing, plus the Damage Payment.</w:t>
            </w:r>
            <w:r w:rsidRPr="00284C5F">
              <w:t xml:space="preserve"> </w:t>
            </w:r>
          </w:p>
        </w:tc>
      </w:tr>
      <w:tr w:rsidR="008A0122" w:rsidRPr="00284C5F" w14:paraId="42D5E4D3" w14:textId="77777777" w:rsidTr="00507296">
        <w:tc>
          <w:tcPr>
            <w:tcW w:w="2790" w:type="dxa"/>
          </w:tcPr>
          <w:p w14:paraId="3B39D219" w14:textId="2DEB7BB5" w:rsidR="008A0122" w:rsidRPr="00284C5F" w:rsidRDefault="008A0122" w:rsidP="008A0122">
            <w:pPr>
              <w:spacing w:before="120" w:after="120"/>
              <w:rPr>
                <w:b/>
              </w:rPr>
            </w:pPr>
            <w:r w:rsidRPr="00284C5F">
              <w:rPr>
                <w:b/>
              </w:rPr>
              <w:lastRenderedPageBreak/>
              <w:t>Commercial Operation Date (“</w:t>
            </w:r>
            <w:r w:rsidRPr="00284C5F">
              <w:rPr>
                <w:b/>
                <w:u w:val="single"/>
              </w:rPr>
              <w:t>COD</w:t>
            </w:r>
            <w:r w:rsidRPr="00284C5F">
              <w:rPr>
                <w:b/>
              </w:rPr>
              <w:t>”):</w:t>
            </w:r>
          </w:p>
        </w:tc>
        <w:tc>
          <w:tcPr>
            <w:tcW w:w="7180" w:type="dxa"/>
          </w:tcPr>
          <w:p w14:paraId="3DF59470" w14:textId="348D0741" w:rsidR="008A0122" w:rsidRPr="00284C5F" w:rsidRDefault="008A0122" w:rsidP="008A0122">
            <w:pPr>
              <w:spacing w:before="120" w:after="120"/>
              <w:jc w:val="both"/>
            </w:pPr>
            <w:r w:rsidRPr="00284C5F">
              <w:t xml:space="preserve">The COD shall be the </w:t>
            </w:r>
            <w:r w:rsidR="00A32825" w:rsidRPr="00284C5F">
              <w:t xml:space="preserve">later of (a) the Expected Commercial Operation Date or (b) the </w:t>
            </w:r>
            <w:r w:rsidRPr="00284C5F">
              <w:t xml:space="preserve">date when all of the following requirements have been met to Buyer’s reasonable satisfaction including Seller providing a certificate from an independent engineer to Buyer certifying to the following: </w:t>
            </w:r>
          </w:p>
          <w:p w14:paraId="114C63AF" w14:textId="101A7DFB" w:rsidR="008A0122" w:rsidRPr="00284C5F" w:rsidRDefault="008A0122" w:rsidP="00531EEB">
            <w:pPr>
              <w:pStyle w:val="ListParagraph"/>
              <w:numPr>
                <w:ilvl w:val="0"/>
                <w:numId w:val="50"/>
              </w:numPr>
              <w:spacing w:before="120" w:after="120"/>
              <w:ind w:left="1142" w:hanging="810"/>
              <w:contextualSpacing w:val="0"/>
              <w:jc w:val="both"/>
            </w:pPr>
            <w:r w:rsidRPr="00284C5F">
              <w:rPr>
                <w:color w:val="000000" w:themeColor="text1"/>
              </w:rPr>
              <w:t>The Generating Facility</w:t>
            </w:r>
            <w:r w:rsidR="007D00D5" w:rsidRPr="00284C5F">
              <w:rPr>
                <w:color w:val="000000" w:themeColor="text1"/>
              </w:rPr>
              <w:t xml:space="preserve"> </w:t>
            </w:r>
            <w:r w:rsidR="00A321B9">
              <w:rPr>
                <w:color w:val="000000" w:themeColor="text1"/>
              </w:rPr>
              <w:t>is</w:t>
            </w:r>
            <w:r w:rsidRPr="00284C5F">
              <w:rPr>
                <w:color w:val="000000" w:themeColor="text1"/>
              </w:rPr>
              <w:t xml:space="preserve"> fully operational, reliable and interconnected, fully integrated and synchronized with the Transmission System.</w:t>
            </w:r>
          </w:p>
          <w:p w14:paraId="3A98DFA1" w14:textId="77777777" w:rsidR="008A0122" w:rsidRPr="00284C5F" w:rsidRDefault="008A0122" w:rsidP="00531EEB">
            <w:pPr>
              <w:pStyle w:val="ListParagraph"/>
              <w:numPr>
                <w:ilvl w:val="0"/>
                <w:numId w:val="50"/>
              </w:numPr>
              <w:spacing w:before="120" w:after="120"/>
              <w:ind w:left="1142" w:hanging="810"/>
              <w:contextualSpacing w:val="0"/>
              <w:jc w:val="both"/>
            </w:pPr>
            <w:r w:rsidRPr="00284C5F">
              <w:rPr>
                <w:color w:val="000000" w:themeColor="text1"/>
              </w:rPr>
              <w:t>Seller has installed equipment for the Generating Facility with a nameplate capacity of no less than ninety-five percent (95%) of the Guaranteed Capacity.</w:t>
            </w:r>
          </w:p>
          <w:p w14:paraId="34B5CC88" w14:textId="77777777" w:rsidR="008A0122" w:rsidRPr="00284C5F" w:rsidRDefault="008A0122" w:rsidP="00531EEB">
            <w:pPr>
              <w:pStyle w:val="ListParagraph"/>
              <w:numPr>
                <w:ilvl w:val="0"/>
                <w:numId w:val="50"/>
              </w:numPr>
              <w:spacing w:before="120" w:after="120"/>
              <w:ind w:left="1142" w:hanging="810"/>
              <w:contextualSpacing w:val="0"/>
              <w:jc w:val="both"/>
            </w:pPr>
            <w:r w:rsidRPr="00284C5F">
              <w:rPr>
                <w:color w:val="000000" w:themeColor="text1"/>
              </w:rPr>
              <w:t>Seller has commissioned all equipment in accordance with its respective manufacturer’s specifications.</w:t>
            </w:r>
          </w:p>
          <w:p w14:paraId="33F6158B" w14:textId="6F53D242" w:rsidR="008A0122" w:rsidRPr="00A321B9" w:rsidRDefault="008A0122" w:rsidP="00A321B9">
            <w:pPr>
              <w:pStyle w:val="ListParagraph"/>
              <w:numPr>
                <w:ilvl w:val="0"/>
                <w:numId w:val="50"/>
              </w:numPr>
              <w:spacing w:before="120" w:after="120"/>
              <w:ind w:left="1142" w:hanging="810"/>
              <w:contextualSpacing w:val="0"/>
              <w:jc w:val="both"/>
            </w:pPr>
            <w:r w:rsidRPr="00284C5F">
              <w:rPr>
                <w:color w:val="000000" w:themeColor="text1"/>
              </w:rPr>
              <w:t>The Generating Facility’s testing included a performance test demonstrating peak electrical output of no less than ninety-five percent (95%) of the Guaranteed Capacity for the Generating Facility at the Delivery Point, as adjusted for ambient conditions on the date of the Facility testing.</w:t>
            </w:r>
          </w:p>
          <w:p w14:paraId="02A53590" w14:textId="58F40B6B" w:rsidR="008A0122" w:rsidRPr="00284C5F" w:rsidRDefault="008A0122" w:rsidP="00531EEB">
            <w:pPr>
              <w:pStyle w:val="ListParagraph"/>
              <w:numPr>
                <w:ilvl w:val="0"/>
                <w:numId w:val="50"/>
              </w:numPr>
              <w:spacing w:before="120" w:after="120"/>
              <w:ind w:left="1142" w:hanging="810"/>
              <w:contextualSpacing w:val="0"/>
              <w:jc w:val="both"/>
              <w:rPr>
                <w:color w:val="000000" w:themeColor="text1"/>
              </w:rPr>
            </w:pPr>
            <w:r w:rsidRPr="00284C5F">
              <w:rPr>
                <w:color w:val="000000" w:themeColor="text1"/>
              </w:rPr>
              <w:t>Authorization to parallel the Facility was obtained by the Participating Transmission Owner, [Name of Participating Transmission Owner as appropriate].</w:t>
            </w:r>
          </w:p>
          <w:p w14:paraId="17049468" w14:textId="29F05E00" w:rsidR="008A0122" w:rsidRPr="00284C5F" w:rsidRDefault="008A0122" w:rsidP="00531EEB">
            <w:pPr>
              <w:pStyle w:val="ListParagraph"/>
              <w:numPr>
                <w:ilvl w:val="0"/>
                <w:numId w:val="50"/>
              </w:numPr>
              <w:spacing w:before="120" w:after="120"/>
              <w:ind w:left="1142" w:hanging="810"/>
              <w:contextualSpacing w:val="0"/>
              <w:jc w:val="both"/>
              <w:rPr>
                <w:color w:val="000000" w:themeColor="text1"/>
              </w:rPr>
            </w:pPr>
            <w:r w:rsidRPr="00284C5F">
              <w:rPr>
                <w:color w:val="000000" w:themeColor="text1"/>
              </w:rPr>
              <w:t>The Transmission Provider has provided documentation supporting full unrestricted release for Commercial Operation by [Name of Participating Transmission Owner as appropriate].</w:t>
            </w:r>
          </w:p>
          <w:p w14:paraId="25BE0B03" w14:textId="23BC5578" w:rsidR="008A0122" w:rsidDel="004961D3" w:rsidRDefault="008A0122" w:rsidP="00531EEB">
            <w:pPr>
              <w:pStyle w:val="ListParagraph"/>
              <w:numPr>
                <w:ilvl w:val="0"/>
                <w:numId w:val="50"/>
              </w:numPr>
              <w:spacing w:before="120" w:after="120"/>
              <w:ind w:left="1142" w:hanging="810"/>
              <w:contextualSpacing w:val="0"/>
              <w:jc w:val="both"/>
            </w:pPr>
          </w:p>
          <w:p w14:paraId="5B37AABC" w14:textId="1CA09E0E" w:rsidR="0031690D" w:rsidRPr="00284C5F" w:rsidRDefault="008A0122" w:rsidP="008A0122">
            <w:pPr>
              <w:spacing w:before="120" w:after="120"/>
              <w:jc w:val="both"/>
            </w:pPr>
            <w:r w:rsidRPr="00284C5F">
              <w:t xml:space="preserve">Seller shall provide notice of expected COD to Buyer in writing no less than sixty (60) days in advance of such date. </w:t>
            </w:r>
          </w:p>
        </w:tc>
      </w:tr>
      <w:tr w:rsidR="008A0122" w:rsidRPr="00284C5F" w14:paraId="68285D39" w14:textId="77777777" w:rsidTr="00507296">
        <w:tc>
          <w:tcPr>
            <w:tcW w:w="2790" w:type="dxa"/>
          </w:tcPr>
          <w:p w14:paraId="32541994" w14:textId="744537EB" w:rsidR="008A0122" w:rsidRPr="00284C5F" w:rsidRDefault="008A0122" w:rsidP="008A0122">
            <w:pPr>
              <w:spacing w:before="120" w:after="120"/>
              <w:rPr>
                <w:b/>
              </w:rPr>
            </w:pPr>
            <w:r w:rsidRPr="00284C5F">
              <w:rPr>
                <w:b/>
              </w:rPr>
              <w:lastRenderedPageBreak/>
              <w:t>Facility Development Milestones:</w:t>
            </w:r>
          </w:p>
        </w:tc>
        <w:tc>
          <w:tcPr>
            <w:tcW w:w="7180" w:type="dxa"/>
          </w:tcPr>
          <w:p w14:paraId="1E7F1C3F" w14:textId="77777777" w:rsidR="008A0122" w:rsidRPr="00284C5F" w:rsidRDefault="008A0122" w:rsidP="008A0122">
            <w:pPr>
              <w:pStyle w:val="JeffsPreferredBullets"/>
              <w:numPr>
                <w:ilvl w:val="0"/>
                <w:numId w:val="28"/>
              </w:numPr>
              <w:spacing w:before="120" w:after="120" w:line="240" w:lineRule="auto"/>
              <w:ind w:left="432"/>
              <w:contextualSpacing w:val="0"/>
              <w:jc w:val="both"/>
              <w:rPr>
                <w:rFonts w:ascii="Times New Roman" w:hAnsi="Times New Roman" w:cs="Times New Roman"/>
                <w:sz w:val="24"/>
                <w:szCs w:val="24"/>
              </w:rPr>
            </w:pPr>
            <w:r w:rsidRPr="00284C5F">
              <w:rPr>
                <w:rFonts w:ascii="Times New Roman" w:hAnsi="Times New Roman" w:cs="Times New Roman"/>
                <w:sz w:val="24"/>
                <w:szCs w:val="24"/>
              </w:rPr>
              <w:t>[</w:t>
            </w:r>
            <w:r w:rsidRPr="00284C5F">
              <w:rPr>
                <w:rFonts w:ascii="Times New Roman" w:hAnsi="Times New Roman" w:cs="Times New Roman"/>
                <w:i/>
                <w:iCs/>
                <w:sz w:val="24"/>
                <w:szCs w:val="24"/>
                <w:highlight w:val="lightGray"/>
              </w:rPr>
              <w:t>mm/dd/yyyy</w:t>
            </w:r>
            <w:r w:rsidRPr="00284C5F">
              <w:rPr>
                <w:rFonts w:ascii="Times New Roman" w:hAnsi="Times New Roman" w:cs="Times New Roman"/>
                <w:sz w:val="24"/>
                <w:szCs w:val="24"/>
              </w:rPr>
              <w:t>]– Execute Interconnection Agreement</w:t>
            </w:r>
          </w:p>
          <w:p w14:paraId="0D6B69B1" w14:textId="77777777" w:rsidR="008A0122" w:rsidRPr="00284C5F" w:rsidRDefault="008A0122" w:rsidP="008A0122">
            <w:pPr>
              <w:pStyle w:val="JeffsPreferredBullets"/>
              <w:numPr>
                <w:ilvl w:val="0"/>
                <w:numId w:val="28"/>
              </w:numPr>
              <w:spacing w:before="120" w:after="120" w:line="240" w:lineRule="auto"/>
              <w:ind w:left="432"/>
              <w:contextualSpacing w:val="0"/>
              <w:jc w:val="both"/>
              <w:rPr>
                <w:rFonts w:ascii="Times New Roman" w:hAnsi="Times New Roman" w:cs="Times New Roman"/>
                <w:sz w:val="24"/>
                <w:szCs w:val="24"/>
              </w:rPr>
            </w:pPr>
            <w:r w:rsidRPr="00284C5F">
              <w:rPr>
                <w:rFonts w:ascii="Times New Roman" w:hAnsi="Times New Roman" w:cs="Times New Roman"/>
                <w:sz w:val="24"/>
                <w:szCs w:val="24"/>
              </w:rPr>
              <w:t>[</w:t>
            </w:r>
            <w:r w:rsidRPr="00284C5F">
              <w:rPr>
                <w:rFonts w:ascii="Times New Roman" w:hAnsi="Times New Roman" w:cs="Times New Roman"/>
                <w:i/>
                <w:iCs/>
                <w:sz w:val="24"/>
                <w:szCs w:val="24"/>
                <w:highlight w:val="lightGray"/>
              </w:rPr>
              <w:t>mm/dd/yyyy</w:t>
            </w:r>
            <w:r w:rsidRPr="00284C5F">
              <w:rPr>
                <w:rFonts w:ascii="Times New Roman" w:hAnsi="Times New Roman" w:cs="Times New Roman"/>
                <w:sz w:val="24"/>
                <w:szCs w:val="24"/>
              </w:rPr>
              <w:t>] – Procure major equipment</w:t>
            </w:r>
          </w:p>
          <w:p w14:paraId="6CC265BE" w14:textId="77777777" w:rsidR="008A0122" w:rsidRPr="00284C5F" w:rsidRDefault="008A0122" w:rsidP="008A0122">
            <w:pPr>
              <w:pStyle w:val="JeffsPreferredBullets"/>
              <w:numPr>
                <w:ilvl w:val="0"/>
                <w:numId w:val="28"/>
              </w:numPr>
              <w:spacing w:before="120" w:after="120" w:line="240" w:lineRule="auto"/>
              <w:ind w:left="432"/>
              <w:contextualSpacing w:val="0"/>
              <w:jc w:val="both"/>
              <w:rPr>
                <w:rFonts w:ascii="Times New Roman" w:hAnsi="Times New Roman" w:cs="Times New Roman"/>
                <w:sz w:val="24"/>
                <w:szCs w:val="24"/>
              </w:rPr>
            </w:pPr>
            <w:r w:rsidRPr="00284C5F">
              <w:rPr>
                <w:rFonts w:ascii="Times New Roman" w:hAnsi="Times New Roman" w:cs="Times New Roman"/>
                <w:sz w:val="24"/>
                <w:szCs w:val="24"/>
              </w:rPr>
              <w:t>[</w:t>
            </w:r>
            <w:r w:rsidRPr="00284C5F">
              <w:rPr>
                <w:rFonts w:ascii="Times New Roman" w:hAnsi="Times New Roman" w:cs="Times New Roman"/>
                <w:i/>
                <w:iCs/>
                <w:sz w:val="24"/>
                <w:szCs w:val="24"/>
                <w:highlight w:val="lightGray"/>
              </w:rPr>
              <w:t>mm/dd/yyyy</w:t>
            </w:r>
            <w:r w:rsidRPr="00284C5F">
              <w:rPr>
                <w:rFonts w:ascii="Times New Roman" w:hAnsi="Times New Roman" w:cs="Times New Roman"/>
                <w:sz w:val="24"/>
                <w:szCs w:val="24"/>
              </w:rPr>
              <w:t xml:space="preserve">] – Obtain federal and state discretionary permits </w:t>
            </w:r>
          </w:p>
          <w:p w14:paraId="78C61DEF" w14:textId="77777777" w:rsidR="008A0122" w:rsidRPr="00284C5F" w:rsidRDefault="008A0122" w:rsidP="008A0122">
            <w:pPr>
              <w:pStyle w:val="JeffsPreferredBullets"/>
              <w:numPr>
                <w:ilvl w:val="0"/>
                <w:numId w:val="28"/>
              </w:numPr>
              <w:spacing w:before="120" w:after="120" w:line="240" w:lineRule="auto"/>
              <w:ind w:left="432"/>
              <w:contextualSpacing w:val="0"/>
              <w:jc w:val="both"/>
              <w:rPr>
                <w:rFonts w:ascii="Times New Roman" w:hAnsi="Times New Roman" w:cs="Times New Roman"/>
                <w:sz w:val="24"/>
                <w:szCs w:val="24"/>
              </w:rPr>
            </w:pPr>
            <w:r w:rsidRPr="00284C5F">
              <w:rPr>
                <w:rFonts w:ascii="Times New Roman" w:hAnsi="Times New Roman" w:cs="Times New Roman"/>
                <w:sz w:val="24"/>
                <w:szCs w:val="24"/>
              </w:rPr>
              <w:t>[</w:t>
            </w:r>
            <w:r w:rsidRPr="00284C5F">
              <w:rPr>
                <w:rFonts w:ascii="Times New Roman" w:hAnsi="Times New Roman" w:cs="Times New Roman"/>
                <w:i/>
                <w:iCs/>
                <w:sz w:val="24"/>
                <w:szCs w:val="24"/>
                <w:highlight w:val="lightGray"/>
              </w:rPr>
              <w:t>mm/dd/yyyy</w:t>
            </w:r>
            <w:r w:rsidRPr="00284C5F">
              <w:rPr>
                <w:rFonts w:ascii="Times New Roman" w:hAnsi="Times New Roman" w:cs="Times New Roman"/>
                <w:sz w:val="24"/>
                <w:szCs w:val="24"/>
              </w:rPr>
              <w:t>] – Expected Construction Start Date</w:t>
            </w:r>
          </w:p>
          <w:p w14:paraId="5F660706" w14:textId="4C150F5B" w:rsidR="008A0122" w:rsidRPr="00284C5F" w:rsidRDefault="008A0122" w:rsidP="00532D72">
            <w:pPr>
              <w:pStyle w:val="JeffsPreferredBullets"/>
              <w:numPr>
                <w:ilvl w:val="0"/>
                <w:numId w:val="28"/>
              </w:numPr>
              <w:spacing w:before="120" w:after="120" w:line="240" w:lineRule="auto"/>
              <w:ind w:left="432"/>
              <w:contextualSpacing w:val="0"/>
              <w:jc w:val="both"/>
              <w:rPr>
                <w:rFonts w:ascii="Times New Roman" w:hAnsi="Times New Roman" w:cs="Times New Roman"/>
                <w:sz w:val="24"/>
                <w:szCs w:val="24"/>
              </w:rPr>
            </w:pPr>
            <w:r w:rsidRPr="00284C5F">
              <w:rPr>
                <w:rFonts w:ascii="Times New Roman" w:hAnsi="Times New Roman" w:cs="Times New Roman"/>
                <w:sz w:val="24"/>
                <w:szCs w:val="24"/>
              </w:rPr>
              <w:t>[</w:t>
            </w:r>
            <w:r w:rsidRPr="00284C5F">
              <w:rPr>
                <w:rFonts w:ascii="Times New Roman" w:hAnsi="Times New Roman" w:cs="Times New Roman"/>
                <w:i/>
                <w:iCs/>
                <w:sz w:val="24"/>
                <w:szCs w:val="24"/>
                <w:highlight w:val="lightGray"/>
              </w:rPr>
              <w:t>mm/dd/</w:t>
            </w:r>
            <w:proofErr w:type="spellStart"/>
            <w:r w:rsidRPr="00284C5F">
              <w:rPr>
                <w:rFonts w:ascii="Times New Roman" w:hAnsi="Times New Roman" w:cs="Times New Roman"/>
                <w:i/>
                <w:iCs/>
                <w:sz w:val="24"/>
                <w:szCs w:val="24"/>
                <w:highlight w:val="lightGray"/>
              </w:rPr>
              <w:t>yyyy</w:t>
            </w:r>
            <w:proofErr w:type="spellEnd"/>
            <w:r w:rsidRPr="00284C5F">
              <w:rPr>
                <w:rFonts w:ascii="Times New Roman" w:hAnsi="Times New Roman" w:cs="Times New Roman"/>
                <w:sz w:val="24"/>
                <w:szCs w:val="24"/>
              </w:rPr>
              <w:t>]– Expected Commercial Operation Date</w:t>
            </w:r>
          </w:p>
        </w:tc>
      </w:tr>
      <w:tr w:rsidR="006C113E" w:rsidRPr="00284C5F" w14:paraId="19F61721" w14:textId="77777777" w:rsidTr="00507296">
        <w:tc>
          <w:tcPr>
            <w:tcW w:w="2790" w:type="dxa"/>
          </w:tcPr>
          <w:p w14:paraId="65BE5BF2" w14:textId="6D7C607C" w:rsidR="006C113E" w:rsidRPr="00284C5F" w:rsidRDefault="006C113E" w:rsidP="006C113E">
            <w:pPr>
              <w:spacing w:before="120" w:after="120"/>
              <w:rPr>
                <w:b/>
              </w:rPr>
            </w:pPr>
            <w:r w:rsidRPr="00284C5F">
              <w:rPr>
                <w:b/>
              </w:rPr>
              <w:t>Progress Reporting:</w:t>
            </w:r>
          </w:p>
        </w:tc>
        <w:tc>
          <w:tcPr>
            <w:tcW w:w="7180" w:type="dxa"/>
          </w:tcPr>
          <w:p w14:paraId="578E6FA1" w14:textId="77777777" w:rsidR="006C113E" w:rsidRPr="00284C5F" w:rsidRDefault="006C113E" w:rsidP="006C113E">
            <w:pPr>
              <w:spacing w:before="120" w:after="120"/>
              <w:jc w:val="both"/>
            </w:pPr>
            <w:r w:rsidRPr="00284C5F">
              <w:t xml:space="preserve">After execution of the PPA, Seller shall provide a monthly report to Buyer that (a) describes the progress towards meeting the Facility Development Milestones; (b) identifies any missed Facility Development Milestones, </w:t>
            </w:r>
            <w:r w:rsidRPr="00284C5F">
              <w:rPr>
                <w:rFonts w:eastAsia="Batang"/>
                <w:color w:val="000000"/>
                <w:w w:val="0"/>
              </w:rPr>
              <w:t xml:space="preserve">including the cause of the delay; and (c) provides a </w:t>
            </w:r>
            <w:r w:rsidRPr="00284C5F">
              <w:t xml:space="preserve">detailed description of Seller’s corrective actions to achieve the missed Facility Development Milestones and all subsequent Facility Development Milestones by the Guaranteed Commercial Operation Date. </w:t>
            </w:r>
          </w:p>
          <w:p w14:paraId="52DA40D5" w14:textId="0E5D5F2A" w:rsidR="006C113E" w:rsidRPr="00284C5F" w:rsidRDefault="006C113E" w:rsidP="006C113E">
            <w:pPr>
              <w:spacing w:before="120" w:after="120"/>
              <w:jc w:val="both"/>
            </w:pPr>
            <w:r w:rsidRPr="00284C5F">
              <w:t>In the event Seller misses any Facility Development Milestones and cannot reasonably demonstrate a plan for completing the Facility by the Guaranteed COD, Buyer shall have the right to terminate the PPA and retain the Development Security as damages, in addition to any other remedies it may have at law or equity.</w:t>
            </w:r>
          </w:p>
        </w:tc>
      </w:tr>
      <w:tr w:rsidR="00CC72E9" w:rsidRPr="00284C5F" w14:paraId="2819D03E" w14:textId="77777777" w:rsidTr="00507296">
        <w:tc>
          <w:tcPr>
            <w:tcW w:w="2790" w:type="dxa"/>
          </w:tcPr>
          <w:p w14:paraId="3FC6AD16" w14:textId="332680AA" w:rsidR="00CC72E9" w:rsidRPr="00284C5F" w:rsidRDefault="00CC72E9" w:rsidP="00CC72E9">
            <w:pPr>
              <w:spacing w:before="120" w:after="120"/>
              <w:rPr>
                <w:b/>
              </w:rPr>
            </w:pPr>
            <w:r w:rsidRPr="00284C5F">
              <w:rPr>
                <w:b/>
              </w:rPr>
              <w:t>Force Majeure:</w:t>
            </w:r>
          </w:p>
        </w:tc>
        <w:tc>
          <w:tcPr>
            <w:tcW w:w="7180" w:type="dxa"/>
          </w:tcPr>
          <w:p w14:paraId="6722BF70" w14:textId="77777777" w:rsidR="00CC72E9" w:rsidRPr="00284C5F" w:rsidRDefault="00CC72E9" w:rsidP="00CC72E9">
            <w:pPr>
              <w:pStyle w:val="ArticleL3"/>
              <w:numPr>
                <w:ilvl w:val="0"/>
                <w:numId w:val="37"/>
              </w:numPr>
              <w:spacing w:before="120" w:after="120"/>
              <w:ind w:left="346"/>
              <w:rPr>
                <w:szCs w:val="24"/>
              </w:rPr>
            </w:pPr>
            <w:r w:rsidRPr="00284C5F">
              <w:rPr>
                <w:szCs w:val="24"/>
              </w:rPr>
              <w:t>“</w:t>
            </w:r>
            <w:r w:rsidRPr="00284C5F">
              <w:rPr>
                <w:b/>
                <w:bCs/>
                <w:szCs w:val="24"/>
                <w:u w:val="single"/>
              </w:rPr>
              <w:t>Force Majeure Event</w:t>
            </w:r>
            <w:r w:rsidRPr="00284C5F">
              <w:rPr>
                <w:szCs w:val="24"/>
              </w:rPr>
              <w:t>” means any act or event that delays or prevents a Party from timely performing all or a portion of its obligations under the PPA or from complying with all or a portion of the conditions under the PPA if such act or event, despite the exercise of reasonable efforts, cannot be avoided by and is beyond the reasonable control (whether direct or indirect) of and without the fault or negligence of the Party relying thereon as justification for such delay, nonperformance, or noncompliance.</w:t>
            </w:r>
          </w:p>
          <w:p w14:paraId="3B17290B" w14:textId="3A574F56" w:rsidR="00CC72E9" w:rsidRPr="00284C5F" w:rsidRDefault="00CC72E9" w:rsidP="00CC72E9">
            <w:pPr>
              <w:pStyle w:val="ArticleL3"/>
              <w:numPr>
                <w:ilvl w:val="0"/>
                <w:numId w:val="37"/>
              </w:numPr>
              <w:spacing w:before="120" w:after="120"/>
              <w:ind w:left="346"/>
              <w:rPr>
                <w:szCs w:val="24"/>
              </w:rPr>
            </w:pPr>
            <w:r w:rsidRPr="00284C5F">
              <w:rPr>
                <w:szCs w:val="24"/>
              </w:rPr>
              <w:t xml:space="preserve">Without limiting the generality of the foregoing, so long as the following events, despite the exercise of reasonable efforts, cannot be avoided by, and are beyond the reasonable control (whether direct or indirect) of and without the fault or negligence of the Party relying thereon as justification for such delay, nonperformance or noncompliance, a Force Majeure Event may include an act of God or the elements, such as flooding, lightning, hurricanes, tornadoes, or ice storms; explosion; fire; volcanic eruption; flood; epidemic, or pandemic; landslide; mudslide; sabotage; terrorism; earthquake; or other cataclysmic events; an act of public enemy; war; blockade; civil insurrection; riot; civil disturbance; or strikes or other labor </w:t>
            </w:r>
            <w:r w:rsidRPr="00284C5F">
              <w:rPr>
                <w:szCs w:val="24"/>
              </w:rPr>
              <w:lastRenderedPageBreak/>
              <w:t xml:space="preserve">difficulties caused or suffered by a Party or any third party except as set forth below. </w:t>
            </w:r>
          </w:p>
          <w:p w14:paraId="43EAF730" w14:textId="49EA5FD5" w:rsidR="00CC72E9" w:rsidRPr="00284C5F" w:rsidRDefault="00CC72E9" w:rsidP="007D366E">
            <w:pPr>
              <w:spacing w:before="120" w:after="120"/>
              <w:jc w:val="both"/>
            </w:pPr>
            <w:r w:rsidRPr="00284C5F">
              <w:t>Notwithstanding the foregoing, the term “</w:t>
            </w:r>
            <w:r w:rsidRPr="00284C5F">
              <w:rPr>
                <w:b/>
                <w:u w:val="single"/>
              </w:rPr>
              <w:t>Force Majeure Event</w:t>
            </w:r>
            <w:r w:rsidRPr="00284C5F">
              <w:t>” does not include (i) economic conditions that render a Party’s performance of the PPA at the Contract Price unprofitable or otherwise uneconomic (including Buyer’s ability to buy Energy at a lower price, or Seller’s ability to sell Energy at a higher price, than the Contract Price); (ii) Seller’s inability to obtain permits or approvals of any type for the construction, operation, or maintenance of the Facility; (iii) the inability of a Party to make payments when due under the PPA, unless the cause of such inability is an event that would otherwise constitute a Force Majeure Event as described above that disables physical or electronic facilities necessary to transfer funds to the payee Party; (iv) a Curtailment Period; (v) Seller’s inability to obtain sufficient labor, equipment, materials, or other resources to build or operate the Facility except to the extent such inability is caused by a Force Majeure Event; (vi) a strike, work stoppage or labor dispute limited only to any one or more of Seller, Seller’s Affiliates, Seller’s contractors, their subcontractors thereof or any other third party employed by Seller to work on the Facility; (vii) any equipment failure except if such equipment failure is caused by a Force Majeure Event;</w:t>
            </w:r>
            <w:r w:rsidR="00795F1C" w:rsidRPr="00284C5F">
              <w:t xml:space="preserve"> (viii) variations in weather, including wind, rain and insolation, within one in fifty (1 in 50) year occurrence; </w:t>
            </w:r>
            <w:r w:rsidR="0026650D" w:rsidRPr="00284C5F">
              <w:t xml:space="preserve">(ix) </w:t>
            </w:r>
            <w:r w:rsidR="007D3780" w:rsidRPr="00284C5F">
              <w:rPr>
                <w:color w:val="000000" w:themeColor="text1"/>
              </w:rPr>
              <w:t>interconnection facilities or network upgrades are not complete and ready for the Facility to connect and sell Product at the Delivery Point by the Guaranteed Commercial Operation Date,</w:t>
            </w:r>
            <w:r w:rsidR="007D3780" w:rsidRPr="00284C5F">
              <w:t xml:space="preserve"> </w:t>
            </w:r>
            <w:r w:rsidR="00953B52">
              <w:t xml:space="preserve">or </w:t>
            </w:r>
            <w:r w:rsidR="00294372" w:rsidRPr="00284C5F">
              <w:t xml:space="preserve">(ix) </w:t>
            </w:r>
            <w:r w:rsidRPr="00284C5F">
              <w:t>Seller’s inability to achieve Construction Start of the Facility following the Guaranteed Construction Start Date or achieve Commercial Operation following the Guaranteed Commercial Operation Date</w:t>
            </w:r>
            <w:r w:rsidR="0026650D" w:rsidRPr="00284C5F">
              <w:t xml:space="preserve"> due to a Force Majeure Event</w:t>
            </w:r>
            <w:r w:rsidRPr="00284C5F">
              <w:t>; it being understood and agreed, for the avoidance of doubt, that the occurrence of a Force Majeure Event may give rise to a Development Cure Period.</w:t>
            </w:r>
            <w:r w:rsidR="007D366E" w:rsidRPr="00284C5F">
              <w:t xml:space="preserve"> </w:t>
            </w:r>
          </w:p>
        </w:tc>
      </w:tr>
      <w:tr w:rsidR="00532D72" w:rsidRPr="00284C5F" w14:paraId="4E86F4C4" w14:textId="77777777" w:rsidTr="00507296">
        <w:tc>
          <w:tcPr>
            <w:tcW w:w="2790" w:type="dxa"/>
          </w:tcPr>
          <w:p w14:paraId="1D3047DC" w14:textId="40B810F3" w:rsidR="00532D72" w:rsidRPr="00284C5F" w:rsidRDefault="00532D72" w:rsidP="00532D72">
            <w:pPr>
              <w:spacing w:before="120" w:after="120"/>
              <w:rPr>
                <w:b/>
              </w:rPr>
            </w:pPr>
            <w:r w:rsidRPr="00284C5F">
              <w:rPr>
                <w:b/>
              </w:rPr>
              <w:lastRenderedPageBreak/>
              <w:t>Site Control:</w:t>
            </w:r>
          </w:p>
        </w:tc>
        <w:tc>
          <w:tcPr>
            <w:tcW w:w="7180" w:type="dxa"/>
          </w:tcPr>
          <w:p w14:paraId="604191E5" w14:textId="279D7525" w:rsidR="00532D72" w:rsidRPr="00284C5F" w:rsidRDefault="00532D72" w:rsidP="00532D72">
            <w:pPr>
              <w:spacing w:before="120" w:after="120"/>
              <w:jc w:val="both"/>
            </w:pPr>
            <w:r w:rsidRPr="00284C5F">
              <w:t>Seller shall maintain site control</w:t>
            </w:r>
            <w:r w:rsidR="004F2506">
              <w:t xml:space="preserve"> </w:t>
            </w:r>
            <w:r w:rsidRPr="00284C5F">
              <w:t>throughout the Delivery Term.</w:t>
            </w:r>
          </w:p>
        </w:tc>
      </w:tr>
      <w:tr w:rsidR="00532D72" w:rsidRPr="00284C5F" w14:paraId="6CC97AB7" w14:textId="77777777" w:rsidTr="00507296">
        <w:tc>
          <w:tcPr>
            <w:tcW w:w="2790" w:type="dxa"/>
          </w:tcPr>
          <w:p w14:paraId="0E230E77" w14:textId="6F190371" w:rsidR="00532D72" w:rsidRPr="00284C5F" w:rsidRDefault="00532D72" w:rsidP="00532D72">
            <w:pPr>
              <w:spacing w:before="120" w:after="120"/>
              <w:rPr>
                <w:b/>
              </w:rPr>
            </w:pPr>
            <w:r w:rsidRPr="00284C5F">
              <w:rPr>
                <w:b/>
              </w:rPr>
              <w:t>Permits and Approvals:</w:t>
            </w:r>
          </w:p>
        </w:tc>
        <w:tc>
          <w:tcPr>
            <w:tcW w:w="7180" w:type="dxa"/>
          </w:tcPr>
          <w:p w14:paraId="71EEAF56" w14:textId="2DA5ED14" w:rsidR="00532D72" w:rsidRPr="00284C5F" w:rsidRDefault="00532D72" w:rsidP="00532D72">
            <w:pPr>
              <w:spacing w:before="120" w:after="120"/>
              <w:jc w:val="both"/>
            </w:pPr>
            <w:r w:rsidRPr="00284C5F">
              <w:t>Seller shall obtain any and all permits and approvals, including without limitation, environmental clearance under the California Environmental Quality Act (“</w:t>
            </w:r>
            <w:r w:rsidRPr="00DE3DB3">
              <w:rPr>
                <w:b/>
                <w:u w:val="single"/>
              </w:rPr>
              <w:t>CEQA</w:t>
            </w:r>
            <w:r w:rsidRPr="00284C5F">
              <w:t xml:space="preserve">”) or other environmental law, from the local jurisdiction where the Project is or will be constructed. Buyer is simply purchasing power and does not intend to be the lead agency for the Project. </w:t>
            </w:r>
          </w:p>
        </w:tc>
      </w:tr>
      <w:tr w:rsidR="006C113E" w:rsidRPr="00284C5F" w14:paraId="0E212CB8" w14:textId="77777777" w:rsidTr="00507296">
        <w:tc>
          <w:tcPr>
            <w:tcW w:w="2790" w:type="dxa"/>
          </w:tcPr>
          <w:p w14:paraId="1A33CADC" w14:textId="5EA3E4A1" w:rsidR="006C113E" w:rsidRPr="00284C5F" w:rsidRDefault="006C113E" w:rsidP="006C113E">
            <w:pPr>
              <w:spacing w:before="120" w:after="120"/>
            </w:pPr>
            <w:r w:rsidRPr="00284C5F">
              <w:rPr>
                <w:b/>
              </w:rPr>
              <w:t>Scheduling Requirements and CAISO Settlements:</w:t>
            </w:r>
          </w:p>
        </w:tc>
        <w:tc>
          <w:tcPr>
            <w:tcW w:w="7180" w:type="dxa"/>
          </w:tcPr>
          <w:p w14:paraId="5A9245CE" w14:textId="771320D8" w:rsidR="006278DF" w:rsidRDefault="006278DF" w:rsidP="001130FC">
            <w:pPr>
              <w:spacing w:before="120" w:after="120"/>
              <w:jc w:val="both"/>
            </w:pPr>
            <w:r>
              <w:t xml:space="preserve">If the Facility’s electric output is required to be scheduled with CAISO, PCE shall designate a Scheduling Coordinator (as defined by CAISO Tariff) for the Facility. </w:t>
            </w:r>
          </w:p>
          <w:p w14:paraId="10B3AEE3" w14:textId="5A4B6EF1" w:rsidR="006278DF" w:rsidRDefault="006278DF" w:rsidP="006278DF">
            <w:pPr>
              <w:spacing w:before="120" w:after="120"/>
              <w:jc w:val="both"/>
            </w:pPr>
            <w:r>
              <w:lastRenderedPageBreak/>
              <w:t>If the Facility’s electric output is scheduled with the CAISO, PCE and Seller shall cooperate to minimize CAISO delivery imbalances and any resulting fees, liabilities, assessments or similar charges assessed by the CAISO (“</w:t>
            </w:r>
            <w:r w:rsidRPr="001130FC">
              <w:rPr>
                <w:b/>
                <w:bCs/>
                <w:u w:val="single"/>
              </w:rPr>
              <w:t>CAISO Charges</w:t>
            </w:r>
            <w:r>
              <w:t xml:space="preserve">”) to the extent </w:t>
            </w:r>
            <w:proofErr w:type="gramStart"/>
            <w:r>
              <w:t>possible, and</w:t>
            </w:r>
            <w:proofErr w:type="gramEnd"/>
            <w:r>
              <w:t xml:space="preserve"> shall each promptly notify the other as soon as possible of any material loss of system capability, deviation or imbalance that is occurring or has occurred. Subject to Seller’s compliance with the foregoing requirements, PCE shall be responsible for imbalance charges; provided, however that if the Facility’s electric output is scheduled with the CAISO, Seller shall reimburse PCE for any CAISO Charges PCE incurs as a result of Seller's violation of the terms and conditions of th</w:t>
            </w:r>
            <w:r w:rsidR="001130FC">
              <w:t xml:space="preserve">e PPA </w:t>
            </w:r>
            <w:r>
              <w:t xml:space="preserve">or the CAISO Tariff. </w:t>
            </w:r>
          </w:p>
          <w:p w14:paraId="251A2FD5" w14:textId="5FA6510F" w:rsidR="006278DF" w:rsidRDefault="006278DF" w:rsidP="006278DF">
            <w:pPr>
              <w:spacing w:before="120" w:after="120"/>
              <w:jc w:val="both"/>
            </w:pPr>
            <w:r>
              <w:t>To the extent that the Facility’s electric output is scheduled with the CAISO, Seller shall be responsible for any “non-Performance Penalties” assessed to PCE by the CAISO (“</w:t>
            </w:r>
            <w:r w:rsidRPr="001130FC">
              <w:rPr>
                <w:b/>
                <w:bCs/>
                <w:u w:val="single"/>
              </w:rPr>
              <w:t>CAISO Penalties</w:t>
            </w:r>
            <w:r>
              <w:t xml:space="preserve">”), under the CAISO Tariff Enforcement Protocol, and not due to any fault of PCE, which shall include, without limitation, any deviation, imbalance or uninstructed energy charges or penalties payable to the CAISO that are due to the fault of Seller. To the extent that Seller materially deviates from its energy schedules (other than an adjustment imposed by the CAISO, a deviation due to any fault of PCE, or an excused Seller failure to deliver, whether for reasons of Force Majeure or otherwise), and such departure results in CAISO Penalties being assessed to PCE, such CAISO Penalties shall be passed on to Seller. </w:t>
            </w:r>
          </w:p>
          <w:p w14:paraId="502A9EF6" w14:textId="69E22E58" w:rsidR="006C113E" w:rsidRPr="00284C5F" w:rsidRDefault="006C113E" w:rsidP="006C113E">
            <w:pPr>
              <w:spacing w:before="120" w:after="120"/>
              <w:jc w:val="both"/>
            </w:pPr>
            <w:r w:rsidRPr="00284C5F">
              <w:t xml:space="preserve">Seller shall provide to Buyer non-binding annual, monthly, day-ahead, and real-time forecasts of Delivered Energy within a timeline that allows Buyer or Buyer’s agent the ability to meet CAISO market and scheduling deadlines. Outage and curtailment notifications will be required by Buyer as well as access to Facility generation data. </w:t>
            </w:r>
          </w:p>
        </w:tc>
      </w:tr>
      <w:tr w:rsidR="006C113E" w:rsidRPr="00284C5F" w14:paraId="1D2D04B5" w14:textId="77777777" w:rsidTr="003D1B83">
        <w:tc>
          <w:tcPr>
            <w:tcW w:w="2790" w:type="dxa"/>
            <w:tcBorders>
              <w:bottom w:val="single" w:sz="4" w:space="0" w:color="auto"/>
            </w:tcBorders>
          </w:tcPr>
          <w:p w14:paraId="29BD5128" w14:textId="04940957" w:rsidR="006C113E" w:rsidRPr="00284C5F" w:rsidRDefault="006C113E" w:rsidP="006C113E">
            <w:pPr>
              <w:spacing w:before="120" w:after="120"/>
              <w:rPr>
                <w:b/>
              </w:rPr>
            </w:pPr>
            <w:r w:rsidRPr="00284C5F">
              <w:rPr>
                <w:b/>
              </w:rPr>
              <w:lastRenderedPageBreak/>
              <w:t>Monthly Settlement and Invoice:</w:t>
            </w:r>
          </w:p>
        </w:tc>
        <w:tc>
          <w:tcPr>
            <w:tcW w:w="7180" w:type="dxa"/>
            <w:tcBorders>
              <w:bottom w:val="single" w:sz="4" w:space="0" w:color="auto"/>
            </w:tcBorders>
          </w:tcPr>
          <w:p w14:paraId="5EDF3BDA" w14:textId="77777777" w:rsidR="006C113E" w:rsidRPr="00284C5F" w:rsidRDefault="006C113E" w:rsidP="006C113E">
            <w:pPr>
              <w:spacing w:before="120" w:after="120"/>
              <w:jc w:val="both"/>
              <w:outlineLvl w:val="3"/>
            </w:pPr>
            <w:r w:rsidRPr="00284C5F">
              <w:t>Within ten (10) days after the end of each month of the Delivery Term, Seller shall send a detailed invoice to Buyer for the amount due for Product delivered during such month. The invoice shall include all information necessary to confirm the amount due.</w:t>
            </w:r>
          </w:p>
          <w:p w14:paraId="61BACA2D" w14:textId="77777777" w:rsidR="006C113E" w:rsidRPr="00284C5F" w:rsidRDefault="006C113E" w:rsidP="006C113E">
            <w:pPr>
              <w:spacing w:before="120" w:after="120"/>
              <w:jc w:val="both"/>
              <w:outlineLvl w:val="3"/>
            </w:pPr>
            <w:r w:rsidRPr="00284C5F">
              <w:t>Payment for undisputed amounts shall be due to the applicable party thirty (30) days from the invoice date, with disputed payments subject to Buyer’s billing dispute process.</w:t>
            </w:r>
          </w:p>
          <w:p w14:paraId="114B9F5A" w14:textId="04832733" w:rsidR="006C113E" w:rsidRPr="00284C5F" w:rsidRDefault="006C113E" w:rsidP="006C113E">
            <w:pPr>
              <w:spacing w:before="120" w:after="120"/>
              <w:jc w:val="both"/>
            </w:pPr>
            <w:r w:rsidRPr="00284C5F">
              <w:t xml:space="preserve">A Party may, in good faith, dispute the correctness of any invoice or any adjustment to an invoice rendered under the PPA or adjust any invoice for any arithmetic or computational error within twelve (12) months of the date the invoice, or adjustment to an invoice, was rendered. In the event an invoice or portion thereof, or any other claim or adjustment arising hereunder, is disputed, payment of the undisputed portion of the invoice shall be required to be made when due. Any invoice dispute or </w:t>
            </w:r>
            <w:r w:rsidRPr="00284C5F">
              <w:lastRenderedPageBreak/>
              <w:t>invoice adjustment shall be in writing and shall state the basis for the dispute or adjustment. Payment of the disputed amount shall not be required until the dispute is resolved. Upon resolution of the dispute, any required payment shall be made within two (2) Business Days of such resolution along with interest accrued at the Interest Rate from and including the original due date to but excluding the date paid. Inadvertent overpayments shall be returned upon request or deducted by the Party receiving such overpayment from subsequent payments, with interest accrued at the Interest Rate from and including the date of such overpayment to but excluding the date repaid or deducted by the Party receiving such overpayment. Any dispute with respect to an invoice is waived if the other Party is not notified within twelve (12) months after the invoice is rendered or subsequently adjusted, except to the extent any misinformation was from a third party not affiliated with any Party and such third party corrects its information after the twelve-month period. If an invoice is not rendered within twelve (12) months after the close of the month during which performance occurred, the right to payment for such performance is waived.</w:t>
            </w:r>
          </w:p>
        </w:tc>
      </w:tr>
      <w:tr w:rsidR="006C113E" w:rsidRPr="00284C5F" w14:paraId="31D7CEFC" w14:textId="77777777" w:rsidTr="003D1B83">
        <w:tc>
          <w:tcPr>
            <w:tcW w:w="2790" w:type="dxa"/>
            <w:tcBorders>
              <w:bottom w:val="single" w:sz="4" w:space="0" w:color="auto"/>
            </w:tcBorders>
          </w:tcPr>
          <w:p w14:paraId="700D1C0D" w14:textId="275409CE" w:rsidR="006C113E" w:rsidRPr="00284C5F" w:rsidRDefault="006C113E" w:rsidP="006C113E">
            <w:pPr>
              <w:spacing w:before="120" w:after="120"/>
              <w:rPr>
                <w:b/>
              </w:rPr>
            </w:pPr>
            <w:r w:rsidRPr="00284C5F">
              <w:rPr>
                <w:b/>
              </w:rPr>
              <w:lastRenderedPageBreak/>
              <w:t xml:space="preserve">Operations and Maintenance: </w:t>
            </w:r>
          </w:p>
        </w:tc>
        <w:tc>
          <w:tcPr>
            <w:tcW w:w="7180" w:type="dxa"/>
            <w:tcBorders>
              <w:bottom w:val="single" w:sz="4" w:space="0" w:color="auto"/>
            </w:tcBorders>
          </w:tcPr>
          <w:p w14:paraId="41FA13D6" w14:textId="2042136A" w:rsidR="006C113E" w:rsidRPr="00284C5F" w:rsidRDefault="006C113E" w:rsidP="006C113E">
            <w:pPr>
              <w:spacing w:before="120" w:after="120"/>
              <w:jc w:val="both"/>
            </w:pPr>
            <w:r w:rsidRPr="00284C5F">
              <w:t>Seller shall not during the months of June through September inclusive schedule any non-emergency maintenance that reduces the Energy generation of the Facility by more than ten percent (10%), unless (i) such outage is required to avoid damage to the Facility, (ii) such maintenance is necessary to maintain equipment warranties and cannot be scheduled outside the months of June through September, (iii) such outage is required in accordance with prudent electrical practices, or (iv) the Parties agree otherwise in writing.</w:t>
            </w:r>
          </w:p>
        </w:tc>
      </w:tr>
      <w:tr w:rsidR="006C113E" w:rsidRPr="00284C5F" w14:paraId="63E8C96F" w14:textId="77777777" w:rsidTr="003D1B83">
        <w:tc>
          <w:tcPr>
            <w:tcW w:w="2790" w:type="dxa"/>
            <w:tcBorders>
              <w:top w:val="single" w:sz="4" w:space="0" w:color="auto"/>
            </w:tcBorders>
          </w:tcPr>
          <w:p w14:paraId="3F2C7602" w14:textId="5E08F3EF" w:rsidR="006C113E" w:rsidRPr="00284C5F" w:rsidRDefault="006C113E" w:rsidP="006C113E">
            <w:pPr>
              <w:spacing w:before="120" w:after="120"/>
              <w:rPr>
                <w:b/>
              </w:rPr>
            </w:pPr>
            <w:r w:rsidRPr="00284C5F">
              <w:rPr>
                <w:b/>
              </w:rPr>
              <w:t>REC Tracking System:</w:t>
            </w:r>
          </w:p>
        </w:tc>
        <w:tc>
          <w:tcPr>
            <w:tcW w:w="7180" w:type="dxa"/>
            <w:tcBorders>
              <w:top w:val="single" w:sz="4" w:space="0" w:color="auto"/>
            </w:tcBorders>
          </w:tcPr>
          <w:p w14:paraId="27B80A1D" w14:textId="7E4A33A8" w:rsidR="006C113E" w:rsidRPr="00284C5F" w:rsidRDefault="006C113E" w:rsidP="006C113E">
            <w:pPr>
              <w:spacing w:before="120" w:after="120"/>
              <w:jc w:val="both"/>
            </w:pPr>
            <w:r w:rsidRPr="00284C5F">
              <w:t>The Seller shall transfer RECs associated with the generation from the Facility for each month via WREGIS pursuant to the timelines in WREGIS Operating Rules.</w:t>
            </w:r>
          </w:p>
          <w:p w14:paraId="7E38CBA1" w14:textId="277BA021" w:rsidR="00F601EC" w:rsidRPr="00284C5F" w:rsidRDefault="006C113E" w:rsidP="006C113E">
            <w:pPr>
              <w:spacing w:before="120" w:after="120"/>
              <w:jc w:val="both"/>
            </w:pPr>
            <w:r w:rsidRPr="00284C5F">
              <w:t xml:space="preserve">Each party shall be responsible for setting up an account with WREGIS. </w:t>
            </w:r>
            <w:r w:rsidR="00F601EC">
              <w:t xml:space="preserve"> </w:t>
            </w:r>
          </w:p>
        </w:tc>
      </w:tr>
      <w:tr w:rsidR="001130FC" w:rsidRPr="00284C5F" w14:paraId="22340CF8" w14:textId="77777777" w:rsidTr="003D1B83">
        <w:tc>
          <w:tcPr>
            <w:tcW w:w="2790" w:type="dxa"/>
            <w:tcBorders>
              <w:top w:val="single" w:sz="4" w:space="0" w:color="auto"/>
            </w:tcBorders>
          </w:tcPr>
          <w:p w14:paraId="638E2851" w14:textId="0740C28E" w:rsidR="001130FC" w:rsidRPr="00284C5F" w:rsidRDefault="001130FC" w:rsidP="006C113E">
            <w:pPr>
              <w:spacing w:before="120" w:after="120"/>
              <w:rPr>
                <w:b/>
              </w:rPr>
            </w:pPr>
            <w:r>
              <w:rPr>
                <w:b/>
              </w:rPr>
              <w:t>Metering:</w:t>
            </w:r>
          </w:p>
        </w:tc>
        <w:tc>
          <w:tcPr>
            <w:tcW w:w="7180" w:type="dxa"/>
            <w:tcBorders>
              <w:top w:val="single" w:sz="4" w:space="0" w:color="auto"/>
            </w:tcBorders>
          </w:tcPr>
          <w:p w14:paraId="5FAD9B84" w14:textId="5FD5DAEA" w:rsidR="001130FC" w:rsidRPr="000230DA" w:rsidRDefault="001130FC" w:rsidP="006C113E">
            <w:pPr>
              <w:spacing w:before="120" w:after="120"/>
              <w:jc w:val="both"/>
              <w:rPr>
                <w:i/>
                <w:iCs/>
              </w:rPr>
            </w:pPr>
            <w:r>
              <w:t>The Facility shall be installed with a revenue-quality meter that is compliant with WREGIS Operating Rules.  Seller shall provide real-time read-only access to the Facility’s metering data.  Seller shall provide Qualified Reporting Entity services as required to meet WREGIS requirements.</w:t>
            </w:r>
          </w:p>
        </w:tc>
      </w:tr>
      <w:tr w:rsidR="006C113E" w:rsidRPr="00284C5F" w14:paraId="76AB6462" w14:textId="77777777" w:rsidTr="00507296">
        <w:tc>
          <w:tcPr>
            <w:tcW w:w="2790" w:type="dxa"/>
          </w:tcPr>
          <w:p w14:paraId="4E5B469B" w14:textId="0ACD389E" w:rsidR="006C113E" w:rsidRPr="00284C5F" w:rsidRDefault="006C113E" w:rsidP="006C113E">
            <w:pPr>
              <w:spacing w:before="120" w:after="120"/>
              <w:rPr>
                <w:b/>
              </w:rPr>
            </w:pPr>
            <w:r w:rsidRPr="00284C5F">
              <w:rPr>
                <w:b/>
              </w:rPr>
              <w:t>Credit Requirements:</w:t>
            </w:r>
          </w:p>
        </w:tc>
        <w:tc>
          <w:tcPr>
            <w:tcW w:w="7180" w:type="dxa"/>
            <w:shd w:val="clear" w:color="auto" w:fill="auto"/>
          </w:tcPr>
          <w:p w14:paraId="7E01C9F4" w14:textId="77777777" w:rsidR="006C113E" w:rsidRPr="00284C5F" w:rsidRDefault="006C113E" w:rsidP="006C113E">
            <w:pPr>
              <w:spacing w:before="120" w:after="120"/>
              <w:jc w:val="both"/>
            </w:pPr>
            <w:r w:rsidRPr="00284C5F">
              <w:t>Seller shall post security as follows:</w:t>
            </w:r>
          </w:p>
          <w:p w14:paraId="25AD9D90" w14:textId="2A150BBD" w:rsidR="006C113E" w:rsidRPr="00284C5F" w:rsidRDefault="006C113E" w:rsidP="006C113E">
            <w:pPr>
              <w:spacing w:before="120" w:after="120"/>
              <w:jc w:val="both"/>
              <w:rPr>
                <w:u w:val="single"/>
              </w:rPr>
            </w:pPr>
            <w:r w:rsidRPr="00284C5F">
              <w:rPr>
                <w:b/>
                <w:bCs/>
                <w:u w:val="single"/>
              </w:rPr>
              <w:t>Development Security</w:t>
            </w:r>
            <w:r w:rsidRPr="00284C5F">
              <w:t xml:space="preserve"> – </w:t>
            </w:r>
            <w:r w:rsidR="00602817" w:rsidRPr="00602817">
              <w:t xml:space="preserve">$60/kW of Guaranteed Capacity </w:t>
            </w:r>
            <w:r w:rsidR="007B63C1" w:rsidRPr="00463EEF">
              <w:t xml:space="preserve"> </w:t>
            </w:r>
          </w:p>
          <w:p w14:paraId="108263F9" w14:textId="6ADD44C7" w:rsidR="006C113E" w:rsidRPr="00284C5F" w:rsidRDefault="006C113E" w:rsidP="006C113E">
            <w:pPr>
              <w:spacing w:before="120" w:after="120"/>
              <w:jc w:val="both"/>
              <w:rPr>
                <w:i/>
              </w:rPr>
            </w:pPr>
            <w:r w:rsidRPr="00284C5F">
              <w:rPr>
                <w:b/>
                <w:bCs/>
                <w:u w:val="single"/>
              </w:rPr>
              <w:t>Performance Security</w:t>
            </w:r>
            <w:r w:rsidRPr="00284C5F">
              <w:t xml:space="preserve"> – </w:t>
            </w:r>
            <w:r w:rsidR="00463EEF">
              <w:t>[</w:t>
            </w:r>
            <w:r w:rsidR="001E11EB">
              <w:rPr>
                <w:i/>
                <w:iCs/>
              </w:rPr>
              <w:t>An amount equal to the first Contract Year’s revenues, assuming deliveries of 100% of Expected Energy</w:t>
            </w:r>
            <w:r w:rsidR="00463EEF">
              <w:t>.]</w:t>
            </w:r>
          </w:p>
          <w:p w14:paraId="00EB017D" w14:textId="77777777" w:rsidR="006C113E" w:rsidRPr="00284C5F" w:rsidRDefault="006C113E" w:rsidP="006C113E">
            <w:pPr>
              <w:spacing w:before="120" w:after="120"/>
              <w:jc w:val="both"/>
              <w:rPr>
                <w:color w:val="000000"/>
              </w:rPr>
            </w:pPr>
            <w:r w:rsidRPr="00284C5F">
              <w:rPr>
                <w:color w:val="000000"/>
              </w:rPr>
              <w:lastRenderedPageBreak/>
              <w:t>To secure its obligations under this PPA, Seller shall deliver the Development Security to Buyer within thirty (30) days of the Effective Date.  Development Security shall be in the form of cash or a Letter of Credit.</w:t>
            </w:r>
          </w:p>
          <w:p w14:paraId="52A4D387" w14:textId="77777777" w:rsidR="006C113E" w:rsidRPr="00284C5F" w:rsidRDefault="006C113E" w:rsidP="006C113E">
            <w:pPr>
              <w:spacing w:before="120" w:after="120"/>
              <w:jc w:val="both"/>
              <w:rPr>
                <w:color w:val="000000"/>
              </w:rPr>
            </w:pPr>
            <w:r w:rsidRPr="00284C5F">
              <w:rPr>
                <w:color w:val="000000"/>
              </w:rPr>
              <w:t>To secure its obligations under this PPA, Seller shall deliver Performance Security to Buyer on or before the Commercial Operation Date.</w:t>
            </w:r>
          </w:p>
          <w:p w14:paraId="1EB090B0" w14:textId="1853C7F3" w:rsidR="006C113E" w:rsidRPr="00284C5F" w:rsidRDefault="006C113E" w:rsidP="006C113E">
            <w:pPr>
              <w:spacing w:before="120" w:after="120"/>
              <w:jc w:val="both"/>
            </w:pPr>
            <w:r w:rsidRPr="00284C5F">
              <w:rPr>
                <w:color w:val="000000"/>
              </w:rPr>
              <w:t>Within five (5) Business Days following any draw by Buyer on the Development Security or the Performance Security, Seller shall replenish the amount drawn such that the security is restored to the applicable amount.</w:t>
            </w:r>
          </w:p>
        </w:tc>
      </w:tr>
      <w:tr w:rsidR="006C113E" w:rsidRPr="00284C5F" w14:paraId="40CFF784" w14:textId="77777777" w:rsidTr="00507296">
        <w:tc>
          <w:tcPr>
            <w:tcW w:w="2790" w:type="dxa"/>
          </w:tcPr>
          <w:p w14:paraId="3AF6EDC8" w14:textId="12A98A47" w:rsidR="006C113E" w:rsidRPr="00284C5F" w:rsidRDefault="006C113E" w:rsidP="006C113E">
            <w:pPr>
              <w:spacing w:before="120" w:after="120"/>
              <w:rPr>
                <w:b/>
              </w:rPr>
            </w:pPr>
            <w:r w:rsidRPr="00284C5F">
              <w:rPr>
                <w:b/>
              </w:rPr>
              <w:lastRenderedPageBreak/>
              <w:t>Compliance with Laws:</w:t>
            </w:r>
          </w:p>
        </w:tc>
        <w:tc>
          <w:tcPr>
            <w:tcW w:w="7180" w:type="dxa"/>
          </w:tcPr>
          <w:p w14:paraId="2E0CEC3F" w14:textId="681676F9" w:rsidR="006C113E" w:rsidRPr="00284C5F" w:rsidRDefault="006C113E" w:rsidP="006C113E">
            <w:pPr>
              <w:spacing w:before="120" w:after="120"/>
              <w:jc w:val="both"/>
            </w:pPr>
            <w:r w:rsidRPr="00284C5F">
              <w:t>Seller shall comply with all federal, state and local laws, statutes, ordinances, rules and regulations, and the orders and decrees of any courts or administrative bodies or tribunals, including, without limitation those related to employment discrimination and prevailing wage, non-discrimination and non-preference; conflict of interest; environmentally preferable procurement; single serving bottled water; gifts; and disqualification of former employees.</w:t>
            </w:r>
          </w:p>
        </w:tc>
      </w:tr>
      <w:tr w:rsidR="00A84E24" w:rsidRPr="00284C5F" w14:paraId="1F849B5D" w14:textId="77777777" w:rsidTr="00507296">
        <w:tc>
          <w:tcPr>
            <w:tcW w:w="2790" w:type="dxa"/>
          </w:tcPr>
          <w:p w14:paraId="1427C4C3" w14:textId="32277DF8" w:rsidR="00A84E24" w:rsidRPr="00284C5F" w:rsidRDefault="00A84E24" w:rsidP="006C113E">
            <w:pPr>
              <w:spacing w:before="120" w:after="120"/>
              <w:rPr>
                <w:b/>
              </w:rPr>
            </w:pPr>
            <w:r>
              <w:rPr>
                <w:b/>
              </w:rPr>
              <w:t>Workforce</w:t>
            </w:r>
            <w:r w:rsidR="00F6023F">
              <w:rPr>
                <w:b/>
              </w:rPr>
              <w:t xml:space="preserve"> Requirements:</w:t>
            </w:r>
          </w:p>
        </w:tc>
        <w:tc>
          <w:tcPr>
            <w:tcW w:w="7180" w:type="dxa"/>
          </w:tcPr>
          <w:p w14:paraId="54B42F3A" w14:textId="4AD32575" w:rsidR="00A84E24" w:rsidRPr="00284C5F" w:rsidRDefault="00A84E24" w:rsidP="006C113E">
            <w:pPr>
              <w:spacing w:before="120" w:after="120"/>
              <w:jc w:val="both"/>
            </w:pPr>
            <w:r>
              <w:t>Seller shall comply with Buyer’s Inclusive and Sustainable Workforce Policy.</w:t>
            </w:r>
          </w:p>
        </w:tc>
      </w:tr>
      <w:tr w:rsidR="006C113E" w:rsidRPr="00284C5F" w14:paraId="45491412" w14:textId="77777777" w:rsidTr="00507296">
        <w:tc>
          <w:tcPr>
            <w:tcW w:w="2790" w:type="dxa"/>
          </w:tcPr>
          <w:p w14:paraId="05575980" w14:textId="34308A4A" w:rsidR="006C113E" w:rsidRPr="00284C5F" w:rsidRDefault="006C113E" w:rsidP="006C113E">
            <w:pPr>
              <w:spacing w:before="120" w:after="120"/>
              <w:rPr>
                <w:b/>
              </w:rPr>
            </w:pPr>
            <w:r w:rsidRPr="00284C5F">
              <w:rPr>
                <w:b/>
              </w:rPr>
              <w:t xml:space="preserve">RPS </w:t>
            </w:r>
            <w:r w:rsidR="007F75CA">
              <w:rPr>
                <w:b/>
              </w:rPr>
              <w:t xml:space="preserve">and Green-e </w:t>
            </w:r>
            <w:r w:rsidRPr="00284C5F">
              <w:rPr>
                <w:b/>
              </w:rPr>
              <w:t>Compliance:</w:t>
            </w:r>
          </w:p>
        </w:tc>
        <w:tc>
          <w:tcPr>
            <w:tcW w:w="7180" w:type="dxa"/>
          </w:tcPr>
          <w:p w14:paraId="03112F1D" w14:textId="70F7C55C" w:rsidR="006C113E" w:rsidRPr="00284C5F" w:rsidRDefault="006C113E" w:rsidP="006C113E">
            <w:pPr>
              <w:spacing w:before="120" w:after="120"/>
              <w:jc w:val="both"/>
            </w:pPr>
            <w:r w:rsidRPr="00284C5F">
              <w:t>Seller must ensure the Facility obtains CEC pre-certification prior to the COD, obtains CEC certification within 180 days of COD and maintains such CEC certification during the Delivery Term.</w:t>
            </w:r>
            <w:r w:rsidR="00C770C2">
              <w:t xml:space="preserve">  Seller shall ensure that the Facility is certified by Green-e as of the Commercial Operation Date and shall maintain such Green-e certification throughout the Delivery Term. </w:t>
            </w:r>
            <w:r w:rsidRPr="00284C5F">
              <w:t xml:space="preserve"> Seller shall ensure that the Product qualifies as Portfolio Content Category 1 throughout the Delivery Term. </w:t>
            </w:r>
            <w:r w:rsidRPr="00284C5F">
              <w:rPr>
                <w:iCs/>
              </w:rPr>
              <w:t>If a change of law occurs after execution of the PPA that impacts Facility’s CEC certification</w:t>
            </w:r>
            <w:r w:rsidR="00C770C2">
              <w:rPr>
                <w:iCs/>
              </w:rPr>
              <w:t xml:space="preserve">, </w:t>
            </w:r>
            <w:r w:rsidRPr="00284C5F">
              <w:rPr>
                <w:iCs/>
              </w:rPr>
              <w:t>the Product’s qualification as Portfolio Content Category 1,</w:t>
            </w:r>
            <w:r w:rsidR="00C770C2">
              <w:rPr>
                <w:iCs/>
              </w:rPr>
              <w:t xml:space="preserve"> or the Facility’s Green-e certification,</w:t>
            </w:r>
            <w:r w:rsidRPr="00284C5F">
              <w:rPr>
                <w:iCs/>
              </w:rPr>
              <w:t xml:space="preserve"> then Seller shall comply with such change of law as necessary to maintain the Facility CEC certification and Product eligibility described above. </w:t>
            </w:r>
          </w:p>
        </w:tc>
      </w:tr>
      <w:tr w:rsidR="006C113E" w:rsidRPr="00284C5F" w14:paraId="0D242E40" w14:textId="77777777" w:rsidTr="00507296">
        <w:tc>
          <w:tcPr>
            <w:tcW w:w="2790" w:type="dxa"/>
          </w:tcPr>
          <w:p w14:paraId="1F93DAA6" w14:textId="777E9A28" w:rsidR="006C113E" w:rsidRPr="00284C5F" w:rsidRDefault="006C113E" w:rsidP="006C113E">
            <w:pPr>
              <w:spacing w:before="120" w:after="120"/>
              <w:rPr>
                <w:b/>
              </w:rPr>
            </w:pPr>
            <w:r w:rsidRPr="00284C5F">
              <w:rPr>
                <w:b/>
              </w:rPr>
              <w:t>Assignment:</w:t>
            </w:r>
          </w:p>
          <w:p w14:paraId="0637D033" w14:textId="77777777" w:rsidR="006C113E" w:rsidRPr="00284C5F" w:rsidRDefault="006C113E" w:rsidP="006C113E">
            <w:pPr>
              <w:spacing w:before="120" w:after="120"/>
              <w:rPr>
                <w:b/>
              </w:rPr>
            </w:pPr>
          </w:p>
        </w:tc>
        <w:tc>
          <w:tcPr>
            <w:tcW w:w="7180" w:type="dxa"/>
          </w:tcPr>
          <w:p w14:paraId="263AE95B" w14:textId="2970EB14" w:rsidR="006C113E" w:rsidRPr="00284C5F" w:rsidRDefault="006C113E" w:rsidP="006C113E">
            <w:pPr>
              <w:spacing w:before="120" w:after="120"/>
              <w:jc w:val="both"/>
            </w:pPr>
            <w:r w:rsidRPr="00284C5F">
              <w:t xml:space="preserve">Neither party may assign the PPA without prior written consent of the other party, which will not be unreasonably withheld; provided, that Seller has the right to assign the PPA as collateral for any financing or refinancing of the Facility without the consent of Buyer. </w:t>
            </w:r>
          </w:p>
          <w:p w14:paraId="360FE4B1" w14:textId="26DB0C49" w:rsidR="006C113E" w:rsidRPr="00284C5F" w:rsidRDefault="006C113E" w:rsidP="006C113E">
            <w:pPr>
              <w:spacing w:before="120" w:after="120"/>
              <w:jc w:val="both"/>
            </w:pPr>
            <w:r w:rsidRPr="00284C5F">
              <w:t>Any direct or indirect change of control of Seller (whether voluntary or by operation of law) will be deemed an assignment and will require the prior written consent of Buyer, which will not be unreasonably withheld.</w:t>
            </w:r>
            <w:r w:rsidRPr="00284C5F" w:rsidDel="006A3E3C">
              <w:t xml:space="preserve"> </w:t>
            </w:r>
          </w:p>
          <w:p w14:paraId="19B34329" w14:textId="0AEB0A5A" w:rsidR="006C113E" w:rsidRPr="00284C5F" w:rsidRDefault="006C113E" w:rsidP="006C113E">
            <w:pPr>
              <w:spacing w:before="120" w:after="120"/>
              <w:jc w:val="both"/>
            </w:pPr>
            <w:r w:rsidRPr="00284C5F">
              <w:lastRenderedPageBreak/>
              <w:t>Seller shall pay Buyer’s reasonable expenses, including attorneys’ fees, incurred to provide consents, estoppels, or other required documentation in connection with Seller’s financing for the Facility. Buyer will have no obligation to provide any consent, or enter into any agreement, that materially and adversely affects any of Buyer’s rights, benefits, risks or obligations under the PPA, or to modify such PPA.</w:t>
            </w:r>
          </w:p>
        </w:tc>
      </w:tr>
      <w:tr w:rsidR="006C113E" w:rsidRPr="00284C5F" w14:paraId="2DCB72D1" w14:textId="77777777" w:rsidTr="00507296">
        <w:tc>
          <w:tcPr>
            <w:tcW w:w="2790" w:type="dxa"/>
          </w:tcPr>
          <w:p w14:paraId="3AA793AE" w14:textId="048E81E2" w:rsidR="006C113E" w:rsidRPr="00284C5F" w:rsidRDefault="006C113E" w:rsidP="006C113E">
            <w:pPr>
              <w:spacing w:before="120" w:after="120"/>
              <w:rPr>
                <w:b/>
              </w:rPr>
            </w:pPr>
            <w:r w:rsidRPr="00284C5F">
              <w:rPr>
                <w:b/>
              </w:rPr>
              <w:lastRenderedPageBreak/>
              <w:t>No Recourse to Members of PCE:</w:t>
            </w:r>
          </w:p>
        </w:tc>
        <w:tc>
          <w:tcPr>
            <w:tcW w:w="7180" w:type="dxa"/>
          </w:tcPr>
          <w:p w14:paraId="49D93B79" w14:textId="6C7A7806" w:rsidR="006C113E" w:rsidRPr="00284C5F" w:rsidRDefault="006C113E" w:rsidP="00325227">
            <w:pPr>
              <w:pStyle w:val="ArticleL3"/>
              <w:numPr>
                <w:ilvl w:val="0"/>
                <w:numId w:val="0"/>
              </w:numPr>
              <w:spacing w:before="120" w:after="120"/>
              <w:rPr>
                <w:szCs w:val="24"/>
              </w:rPr>
            </w:pPr>
            <w:r w:rsidRPr="00284C5F">
              <w:rPr>
                <w:szCs w:val="24"/>
              </w:rPr>
              <w:t xml:space="preserve">PCE is organized as a Joint Powers Authorities in accordance with the Joint Exercise of Powers Act of the State of California (Government Code Section 6500, et seq.) pursuant to its Joint Powers Agreement and is a public entity separate from its constituent members. </w:t>
            </w:r>
            <w:r w:rsidR="00831991" w:rsidRPr="00284C5F">
              <w:rPr>
                <w:szCs w:val="24"/>
              </w:rPr>
              <w:t xml:space="preserve"> </w:t>
            </w:r>
            <w:r w:rsidRPr="00284C5F">
              <w:rPr>
                <w:szCs w:val="24"/>
              </w:rPr>
              <w:t>PCE shall solely be responsible for all debts, obligations and liabilities accruing and arising out of this Agreement. Seller shall have no rights and shall not make any claims, take any actions or assert any remedies against any of PCE’s constituent members in connection with this Agreement.</w:t>
            </w:r>
          </w:p>
        </w:tc>
      </w:tr>
      <w:tr w:rsidR="006C113E" w:rsidRPr="00284C5F" w14:paraId="1436DC6B" w14:textId="77777777" w:rsidTr="00507296">
        <w:tc>
          <w:tcPr>
            <w:tcW w:w="2790" w:type="dxa"/>
          </w:tcPr>
          <w:p w14:paraId="0340DED1" w14:textId="10DB7FDA" w:rsidR="006C113E" w:rsidRPr="00284C5F" w:rsidRDefault="006C113E" w:rsidP="006C113E">
            <w:pPr>
              <w:spacing w:before="120" w:after="120"/>
              <w:rPr>
                <w:b/>
              </w:rPr>
            </w:pPr>
            <w:r w:rsidRPr="00284C5F">
              <w:rPr>
                <w:b/>
              </w:rPr>
              <w:t>Other Standard Contract Terms to be included in the PPA:</w:t>
            </w:r>
          </w:p>
        </w:tc>
        <w:tc>
          <w:tcPr>
            <w:tcW w:w="7180" w:type="dxa"/>
          </w:tcPr>
          <w:p w14:paraId="4FC4948D" w14:textId="7F0DF470" w:rsidR="006C113E" w:rsidRPr="00284C5F" w:rsidRDefault="006C113E" w:rsidP="006C113E">
            <w:pPr>
              <w:spacing w:before="120" w:after="120"/>
              <w:jc w:val="both"/>
            </w:pPr>
            <w:r w:rsidRPr="00284C5F">
              <w:rPr>
                <w:u w:val="single"/>
              </w:rPr>
              <w:t>Event of Default</w:t>
            </w:r>
            <w:r w:rsidRPr="00284C5F">
              <w:t xml:space="preserve">: Events of Default shall include, but not be limited to, failure to pay any amounts when due, breach of representations and warranties, failure to perform covenants and material obligations in the PPA, bankruptcy, assignment not permitted by the PPA, Seller failure to achieve Construction Start within one hundred </w:t>
            </w:r>
            <w:r w:rsidR="00AC711F" w:rsidRPr="00284C5F">
              <w:t>twenty</w:t>
            </w:r>
            <w:r w:rsidRPr="00284C5F">
              <w:t xml:space="preserve"> (1</w:t>
            </w:r>
            <w:r w:rsidR="00AC711F" w:rsidRPr="00284C5F">
              <w:t>2</w:t>
            </w:r>
            <w:r w:rsidRPr="00284C5F">
              <w:t>0) days of Guaranteed Construction Start Date, Seller failure to achieve Commercial Operation with</w:t>
            </w:r>
            <w:r w:rsidR="00F93293" w:rsidRPr="00284C5F">
              <w:t>in</w:t>
            </w:r>
            <w:r w:rsidRPr="00284C5F">
              <w:t xml:space="preserve"> sixty (60) days after the Guaranteed Commercial Operation Date, and other Events of Default expressly provided for in this Term Sheet. </w:t>
            </w:r>
          </w:p>
          <w:p w14:paraId="4383D491" w14:textId="39AB755C" w:rsidR="006C113E" w:rsidRPr="00284C5F" w:rsidRDefault="006C113E" w:rsidP="006C113E">
            <w:pPr>
              <w:spacing w:before="120" w:after="120"/>
              <w:jc w:val="both"/>
            </w:pPr>
            <w:r w:rsidRPr="00284C5F">
              <w:rPr>
                <w:u w:val="single"/>
              </w:rPr>
              <w:t>Indemnification</w:t>
            </w:r>
            <w:r w:rsidRPr="00284C5F">
              <w:t>: Seller agrees to defend, indemnify and hold harmless Buyer, its directors, officers, agents, attorneys, consultants, employees and representatives from and against all claims, demands, losses, liabilities, penalties, and expenses, including reasonable attorneys’ and expert witness fees collectively (“</w:t>
            </w:r>
            <w:r w:rsidRPr="00DE3DB3">
              <w:rPr>
                <w:b/>
                <w:bCs/>
                <w:u w:val="single"/>
              </w:rPr>
              <w:t>Indemnifiable Event</w:t>
            </w:r>
            <w:r w:rsidRPr="00284C5F">
              <w:t xml:space="preserve">”), to the extent such Indemnifiable Event arises out of, pertains to, or relates to any of the following:(a) the negligent act or omission, recklessness or willful misconduct of the </w:t>
            </w:r>
            <w:r w:rsidR="00CF046E">
              <w:t>Seller</w:t>
            </w:r>
            <w:r w:rsidRPr="00284C5F">
              <w:t>, its Affiliates, its directors, officers, employees, agents, subcontractors, and anyone directly or indirectly employed by either the Seller or any of its subcontractors or anyone that they control; (b) any infringement of the patent rights, copyright, trade secret, trade name, trademark, service mark or any other proprietary right of any person(s) caused by the Buyer’s use of the Product, deliverables or other items provided by the of the Seller pursuant to the requirements of this Proposed Transaction, or (c) any breach of the Proposed Transaction.</w:t>
            </w:r>
          </w:p>
          <w:p w14:paraId="337E955E" w14:textId="2A3C1C66" w:rsidR="006C113E" w:rsidRPr="00284C5F" w:rsidRDefault="006C113E" w:rsidP="006C113E">
            <w:pPr>
              <w:spacing w:before="120" w:after="120"/>
              <w:jc w:val="both"/>
            </w:pPr>
            <w:r w:rsidRPr="00284C5F">
              <w:t xml:space="preserve">The Seller’s indemnity obligations apply to the maximum extent allowed by law and includes defending </w:t>
            </w:r>
            <w:r w:rsidR="007B5E7C">
              <w:t>P</w:t>
            </w:r>
            <w:r w:rsidR="00DE3DB3">
              <w:t>eninsula Clean Energy</w:t>
            </w:r>
            <w:r w:rsidRPr="00284C5F">
              <w:t xml:space="preserve">, its officers, employees and agents as set forth in Section 2778 and 2782.8 of the California Civil Code, if applicable.  Upon the Buyer’s written request, </w:t>
            </w:r>
            <w:r w:rsidRPr="00284C5F">
              <w:lastRenderedPageBreak/>
              <w:t xml:space="preserve">the Seller, at its own expense, must defend any suit or action that is subject to the Seller’s indemnity obligations.  </w:t>
            </w:r>
          </w:p>
          <w:p w14:paraId="1A35170F" w14:textId="77777777" w:rsidR="006C113E" w:rsidRPr="00284C5F" w:rsidRDefault="006C113E" w:rsidP="006C113E">
            <w:pPr>
              <w:spacing w:before="120" w:after="120"/>
              <w:jc w:val="both"/>
            </w:pPr>
            <w:r w:rsidRPr="00284C5F">
              <w:t>The Seller’s indemnity obligations survive the expiration or earlier termination of the Proposed Transaction.</w:t>
            </w:r>
          </w:p>
          <w:p w14:paraId="01C2611C" w14:textId="77777777" w:rsidR="006C113E" w:rsidRPr="00284C5F" w:rsidRDefault="006C113E" w:rsidP="006C113E">
            <w:pPr>
              <w:spacing w:before="120" w:after="120"/>
              <w:jc w:val="both"/>
            </w:pPr>
            <w:r w:rsidRPr="00284C5F">
              <w:rPr>
                <w:u w:val="single"/>
              </w:rPr>
              <w:t>Governing Law</w:t>
            </w:r>
            <w:r w:rsidRPr="00284C5F">
              <w:t>: State of California</w:t>
            </w:r>
          </w:p>
          <w:p w14:paraId="6AB09AFD" w14:textId="72872E04" w:rsidR="006C113E" w:rsidRPr="00284C5F" w:rsidRDefault="006C113E" w:rsidP="006C113E">
            <w:pPr>
              <w:spacing w:before="120" w:after="120"/>
              <w:jc w:val="both"/>
            </w:pPr>
            <w:r w:rsidRPr="00284C5F">
              <w:rPr>
                <w:u w:val="single"/>
              </w:rPr>
              <w:t>Venue</w:t>
            </w:r>
            <w:r w:rsidRPr="00284C5F">
              <w:t>: San Mateo County (PCE)</w:t>
            </w:r>
          </w:p>
        </w:tc>
      </w:tr>
      <w:tr w:rsidR="006C113E" w:rsidRPr="00284C5F" w14:paraId="55332C58" w14:textId="77777777" w:rsidTr="00507296">
        <w:tc>
          <w:tcPr>
            <w:tcW w:w="2790" w:type="dxa"/>
          </w:tcPr>
          <w:p w14:paraId="1D5C6606" w14:textId="6E289AC9" w:rsidR="006C113E" w:rsidRPr="00284C5F" w:rsidRDefault="006C113E" w:rsidP="006C113E">
            <w:pPr>
              <w:spacing w:before="120" w:after="120"/>
              <w:rPr>
                <w:b/>
              </w:rPr>
            </w:pPr>
            <w:r w:rsidRPr="00284C5F">
              <w:rPr>
                <w:b/>
              </w:rPr>
              <w:lastRenderedPageBreak/>
              <w:t>Definitions:</w:t>
            </w:r>
          </w:p>
        </w:tc>
        <w:tc>
          <w:tcPr>
            <w:tcW w:w="7180" w:type="dxa"/>
          </w:tcPr>
          <w:p w14:paraId="49A1AA05" w14:textId="77777777" w:rsidR="006C113E" w:rsidRPr="00284C5F" w:rsidRDefault="006C113E" w:rsidP="006C113E">
            <w:pPr>
              <w:spacing w:before="120" w:after="120"/>
              <w:jc w:val="both"/>
            </w:pPr>
            <w:r w:rsidRPr="00284C5F">
              <w:t>The following terms, when used herein with initial capitalization, shall have the meanings set forth below:</w:t>
            </w:r>
          </w:p>
          <w:p w14:paraId="5A04664B" w14:textId="68DE4FEC" w:rsidR="006C113E" w:rsidRPr="00284C5F" w:rsidRDefault="006C113E" w:rsidP="006C113E">
            <w:pPr>
              <w:spacing w:before="120" w:after="120"/>
              <w:jc w:val="both"/>
            </w:pPr>
            <w:r w:rsidRPr="00284C5F">
              <w:t>“</w:t>
            </w:r>
            <w:r w:rsidRPr="00284C5F">
              <w:rPr>
                <w:b/>
                <w:u w:val="single"/>
              </w:rPr>
              <w:t>CAISO</w:t>
            </w:r>
            <w:r w:rsidRPr="00284C5F">
              <w:t>” means the California Independent System Operator.</w:t>
            </w:r>
          </w:p>
          <w:p w14:paraId="75D53B56" w14:textId="77777777" w:rsidR="006C113E" w:rsidRPr="00284C5F" w:rsidRDefault="006C113E" w:rsidP="006C113E">
            <w:pPr>
              <w:spacing w:before="120" w:after="120"/>
              <w:jc w:val="both"/>
            </w:pPr>
            <w:r w:rsidRPr="00284C5F">
              <w:t>“</w:t>
            </w:r>
            <w:r w:rsidRPr="00284C5F">
              <w:rPr>
                <w:b/>
                <w:u w:val="single"/>
              </w:rPr>
              <w:t>CAISO Tariff</w:t>
            </w:r>
            <w:r w:rsidRPr="00284C5F">
              <w:t>” means the California Independent System Operator Corporation Agreement and Tariff, Business Practice Manuals (BPMs), and Operating Procedures, including the rules, protocols, procedures and standards attached thereto, as the same may be amended or modified from time-to-time and approved by FERC.</w:t>
            </w:r>
          </w:p>
          <w:p w14:paraId="10524842" w14:textId="597A52C6" w:rsidR="006C113E" w:rsidRPr="00284C5F" w:rsidRDefault="006C113E" w:rsidP="006C113E">
            <w:pPr>
              <w:spacing w:before="120" w:after="120"/>
              <w:jc w:val="both"/>
            </w:pPr>
            <w:r w:rsidRPr="00284C5F">
              <w:t>“</w:t>
            </w:r>
            <w:r w:rsidRPr="00284C5F">
              <w:rPr>
                <w:b/>
                <w:bCs/>
                <w:u w:val="single"/>
              </w:rPr>
              <w:t>California Renewables Portfolio Standard</w:t>
            </w:r>
            <w:r w:rsidRPr="00284C5F">
              <w:t>” or “</w:t>
            </w:r>
            <w:r w:rsidRPr="00284C5F">
              <w:rPr>
                <w:b/>
                <w:bCs/>
                <w:u w:val="single"/>
              </w:rPr>
              <w:t>RPS</w:t>
            </w:r>
            <w:r w:rsidRPr="00284C5F">
              <w:t xml:space="preserve">” means the renewable energy program and policies established by California State Senate Bills 1038 (2002), 1078 (2002), </w:t>
            </w:r>
            <w:bookmarkStart w:id="0" w:name="DocXTextRef25"/>
            <w:r w:rsidRPr="00284C5F">
              <w:t>107</w:t>
            </w:r>
            <w:bookmarkEnd w:id="0"/>
            <w:r w:rsidRPr="00284C5F">
              <w:t xml:space="preserve"> (2008), X-1 </w:t>
            </w:r>
            <w:bookmarkStart w:id="1" w:name="DocXTextRef26"/>
            <w:r w:rsidRPr="00284C5F">
              <w:t>2</w:t>
            </w:r>
            <w:bookmarkEnd w:id="1"/>
            <w:r w:rsidRPr="00284C5F">
              <w:t xml:space="preserve"> (2011), 350 (2015), and 100 (2018) as codified in, </w:t>
            </w:r>
            <w:r w:rsidRPr="00284C5F">
              <w:rPr>
                <w:i/>
                <w:iCs/>
              </w:rPr>
              <w:t>inter alia</w:t>
            </w:r>
            <w:r w:rsidRPr="00284C5F">
              <w:t xml:space="preserve">, California Public Utilities Code </w:t>
            </w:r>
            <w:bookmarkStart w:id="2" w:name="DocXTextRef28"/>
            <w:r w:rsidRPr="00284C5F">
              <w:t>Sections 399.11</w:t>
            </w:r>
            <w:bookmarkEnd w:id="2"/>
            <w:r w:rsidRPr="00284C5F">
              <w:t xml:space="preserve"> through </w:t>
            </w:r>
            <w:bookmarkStart w:id="3" w:name="DocXTextRef27"/>
            <w:r w:rsidRPr="00284C5F">
              <w:t>399.31</w:t>
            </w:r>
            <w:bookmarkEnd w:id="3"/>
            <w:r w:rsidRPr="00284C5F">
              <w:t xml:space="preserve"> and California Public Resources Code Sections 25740 through 25751, as such provisions are amended or supplemented from time to time.</w:t>
            </w:r>
          </w:p>
          <w:p w14:paraId="44C64F78" w14:textId="0A0428C5" w:rsidR="00507296" w:rsidRPr="00284C5F" w:rsidRDefault="00507296" w:rsidP="006C113E">
            <w:pPr>
              <w:spacing w:before="120" w:after="120"/>
              <w:jc w:val="both"/>
              <w:rPr>
                <w:color w:val="000000" w:themeColor="text1"/>
              </w:rPr>
            </w:pPr>
            <w:r w:rsidRPr="00284C5F">
              <w:rPr>
                <w:b/>
                <w:bCs/>
                <w:color w:val="000000" w:themeColor="text1"/>
              </w:rPr>
              <w:t>“</w:t>
            </w:r>
            <w:r w:rsidRPr="00310C31">
              <w:rPr>
                <w:b/>
                <w:bCs/>
                <w:color w:val="000000" w:themeColor="text1"/>
                <w:u w:val="single"/>
              </w:rPr>
              <w:t>CEQA</w:t>
            </w:r>
            <w:r w:rsidRPr="00284C5F">
              <w:rPr>
                <w:color w:val="000000" w:themeColor="text1"/>
              </w:rPr>
              <w:t>” means the California Environmental Quality Act.</w:t>
            </w:r>
          </w:p>
          <w:p w14:paraId="3FAAC2C0" w14:textId="77777777" w:rsidR="006C113E" w:rsidRPr="00284C5F" w:rsidRDefault="006C113E" w:rsidP="006C113E">
            <w:pPr>
              <w:spacing w:before="120" w:after="120"/>
              <w:jc w:val="both"/>
            </w:pPr>
            <w:r w:rsidRPr="00284C5F">
              <w:t>“</w:t>
            </w:r>
            <w:r w:rsidRPr="00284C5F">
              <w:rPr>
                <w:b/>
                <w:bCs/>
                <w:u w:val="single"/>
              </w:rPr>
              <w:t>CEC</w:t>
            </w:r>
            <w:r w:rsidRPr="00284C5F">
              <w:t>” means the California Energy Commission, or any successor agency performing similar statutory functions.</w:t>
            </w:r>
          </w:p>
          <w:p w14:paraId="71E3B623" w14:textId="563FADC0" w:rsidR="006C113E" w:rsidDel="00F601EC" w:rsidRDefault="006C113E" w:rsidP="00F601EC">
            <w:pPr>
              <w:spacing w:before="120" w:after="120"/>
              <w:jc w:val="both"/>
            </w:pPr>
            <w:r w:rsidRPr="00284C5F">
              <w:t>“</w:t>
            </w:r>
            <w:r w:rsidRPr="00284C5F">
              <w:rPr>
                <w:b/>
                <w:bCs/>
                <w:u w:val="single"/>
              </w:rPr>
              <w:t>Contract Year</w:t>
            </w:r>
            <w:r w:rsidRPr="00284C5F">
              <w:t>” means a period of twelve (12) consecutive months beginning on the Commercial Operation Date and each subsequent Contract Year shall commence on the anniversary of the Commercial Operation Date.</w:t>
            </w:r>
          </w:p>
          <w:p w14:paraId="32CB4DFB" w14:textId="03D7BFC8" w:rsidR="00E205F6" w:rsidRDefault="00E205F6" w:rsidP="006C113E">
            <w:pPr>
              <w:spacing w:before="120" w:after="120"/>
              <w:jc w:val="both"/>
            </w:pPr>
            <w:r w:rsidRPr="00FA12FD">
              <w:t>“</w:t>
            </w:r>
            <w:r w:rsidR="006313A7">
              <w:rPr>
                <w:b/>
                <w:u w:val="single"/>
              </w:rPr>
              <w:t>Generating Facility</w:t>
            </w:r>
            <w:r w:rsidRPr="001917DC">
              <w:rPr>
                <w:b/>
                <w:u w:val="single"/>
              </w:rPr>
              <w:t xml:space="preserve"> </w:t>
            </w:r>
            <w:r w:rsidRPr="001917DC">
              <w:rPr>
                <w:b/>
                <w:bCs/>
                <w:u w:val="single"/>
              </w:rPr>
              <w:t>Energy</w:t>
            </w:r>
            <w:r w:rsidRPr="00FA12FD">
              <w:t>”</w:t>
            </w:r>
            <w:r w:rsidRPr="00F84E08">
              <w:t xml:space="preserve"> means </w:t>
            </w:r>
            <w:r>
              <w:t xml:space="preserve">that portion of </w:t>
            </w:r>
            <w:r w:rsidR="006313A7">
              <w:t>e</w:t>
            </w:r>
            <w:r w:rsidRPr="00F84E08">
              <w:t>nergy</w:t>
            </w:r>
            <w:r>
              <w:t xml:space="preserve"> that is delivered from the Generating Facility directly to the Delivery Point, </w:t>
            </w:r>
            <w:r w:rsidR="00B53A5C" w:rsidRPr="0002466B">
              <w:rPr>
                <w:color w:val="000000" w:themeColor="text1"/>
              </w:rPr>
              <w:t xml:space="preserve">net of </w:t>
            </w:r>
            <w:r w:rsidR="00B53A5C">
              <w:rPr>
                <w:color w:val="000000" w:themeColor="text1"/>
              </w:rPr>
              <w:t>e</w:t>
            </w:r>
            <w:r w:rsidR="00B53A5C" w:rsidRPr="0002466B">
              <w:rPr>
                <w:color w:val="000000" w:themeColor="text1"/>
              </w:rPr>
              <w:t xml:space="preserve">lectrical </w:t>
            </w:r>
            <w:r w:rsidR="00B53A5C">
              <w:rPr>
                <w:color w:val="000000" w:themeColor="text1"/>
              </w:rPr>
              <w:t>l</w:t>
            </w:r>
            <w:r w:rsidR="00B53A5C" w:rsidRPr="0002466B">
              <w:rPr>
                <w:color w:val="000000" w:themeColor="text1"/>
              </w:rPr>
              <w:t xml:space="preserve">osses and </w:t>
            </w:r>
            <w:r w:rsidR="00B53A5C">
              <w:rPr>
                <w:color w:val="000000" w:themeColor="text1"/>
              </w:rPr>
              <w:t>s</w:t>
            </w:r>
            <w:r w:rsidR="00B53A5C" w:rsidRPr="0002466B">
              <w:rPr>
                <w:color w:val="000000" w:themeColor="text1"/>
              </w:rPr>
              <w:t xml:space="preserve">tation </w:t>
            </w:r>
            <w:r w:rsidR="00B53A5C">
              <w:rPr>
                <w:color w:val="000000" w:themeColor="text1"/>
              </w:rPr>
              <w:t>u</w:t>
            </w:r>
            <w:r w:rsidR="00B53A5C" w:rsidRPr="0002466B">
              <w:rPr>
                <w:color w:val="000000" w:themeColor="text1"/>
              </w:rPr>
              <w:t xml:space="preserve">se, as measured by the Facility </w:t>
            </w:r>
            <w:r w:rsidR="00B53A5C">
              <w:rPr>
                <w:color w:val="000000" w:themeColor="text1"/>
              </w:rPr>
              <w:t>m</w:t>
            </w:r>
            <w:r w:rsidR="00B53A5C" w:rsidRPr="0002466B">
              <w:rPr>
                <w:color w:val="000000" w:themeColor="text1"/>
              </w:rPr>
              <w:t xml:space="preserve">eter, which will be adjusted in accordance with CAISO meter requirements to account for </w:t>
            </w:r>
            <w:r w:rsidR="00B53A5C">
              <w:rPr>
                <w:color w:val="000000" w:themeColor="text1"/>
              </w:rPr>
              <w:t>e</w:t>
            </w:r>
            <w:r w:rsidR="00B53A5C" w:rsidRPr="0002466B">
              <w:rPr>
                <w:color w:val="000000" w:themeColor="text1"/>
              </w:rPr>
              <w:t xml:space="preserve">lectrical </w:t>
            </w:r>
            <w:r w:rsidR="00B53A5C">
              <w:rPr>
                <w:color w:val="000000" w:themeColor="text1"/>
              </w:rPr>
              <w:t>l</w:t>
            </w:r>
            <w:r w:rsidR="00B53A5C" w:rsidRPr="0002466B">
              <w:rPr>
                <w:color w:val="000000" w:themeColor="text1"/>
              </w:rPr>
              <w:t xml:space="preserve">osses and </w:t>
            </w:r>
            <w:r w:rsidR="00B53A5C">
              <w:rPr>
                <w:color w:val="000000" w:themeColor="text1"/>
              </w:rPr>
              <w:t>s</w:t>
            </w:r>
            <w:r w:rsidR="00B53A5C" w:rsidRPr="0002466B">
              <w:rPr>
                <w:color w:val="000000" w:themeColor="text1"/>
              </w:rPr>
              <w:t xml:space="preserve">tation </w:t>
            </w:r>
            <w:r w:rsidR="00B53A5C">
              <w:rPr>
                <w:color w:val="000000" w:themeColor="text1"/>
              </w:rPr>
              <w:t>u</w:t>
            </w:r>
            <w:r w:rsidR="00B53A5C" w:rsidRPr="0002466B">
              <w:rPr>
                <w:color w:val="000000" w:themeColor="text1"/>
              </w:rPr>
              <w:t>se</w:t>
            </w:r>
            <w:r w:rsidR="006313A7">
              <w:t>.</w:t>
            </w:r>
          </w:p>
          <w:p w14:paraId="78BE2647" w14:textId="01E7C05D" w:rsidR="006C113E" w:rsidRPr="00284C5F" w:rsidRDefault="006C113E" w:rsidP="006C113E">
            <w:pPr>
              <w:spacing w:before="120" w:after="120"/>
              <w:jc w:val="both"/>
            </w:pPr>
            <w:r w:rsidRPr="00284C5F">
              <w:t>“</w:t>
            </w:r>
            <w:r w:rsidRPr="00284C5F">
              <w:rPr>
                <w:b/>
                <w:bCs/>
                <w:u w:val="single"/>
              </w:rPr>
              <w:t>Guaranteed Capacity</w:t>
            </w:r>
            <w:r w:rsidRPr="00284C5F">
              <w:t xml:space="preserve">” means the amount of generating capacity of the </w:t>
            </w:r>
            <w:r w:rsidR="00DD4DEC" w:rsidRPr="00284C5F">
              <w:t xml:space="preserve">Generating </w:t>
            </w:r>
            <w:r w:rsidRPr="00284C5F">
              <w:t>Facility, as measured in MW at the Delivery Point, as the same may be adjusted pursuant to the PPA.</w:t>
            </w:r>
          </w:p>
          <w:p w14:paraId="31CF5F44" w14:textId="77777777" w:rsidR="006C113E" w:rsidRPr="00284C5F" w:rsidRDefault="006C113E" w:rsidP="006C113E">
            <w:pPr>
              <w:spacing w:before="120" w:after="120"/>
              <w:jc w:val="both"/>
              <w:rPr>
                <w:b/>
              </w:rPr>
            </w:pPr>
            <w:r w:rsidRPr="00284C5F">
              <w:t>“</w:t>
            </w:r>
            <w:r w:rsidRPr="00284C5F">
              <w:rPr>
                <w:b/>
                <w:u w:val="single"/>
              </w:rPr>
              <w:t>Letter(s) of Credit</w:t>
            </w:r>
            <w:r w:rsidRPr="00284C5F">
              <w:t xml:space="preserve">” means one or more irrevocable, standby letters of credit issued by a U.S. commercial bank or a foreign bank with a U.S. branch with such bank (a) having a credit rating of at least A- with an </w:t>
            </w:r>
            <w:r w:rsidRPr="00284C5F">
              <w:lastRenderedPageBreak/>
              <w:t xml:space="preserve">outlook designation of “stable” from S&amp;P or A3 with an outlook designation of “stable” from Moody’s or (b) being reasonably acceptable to Buyer.  </w:t>
            </w:r>
          </w:p>
          <w:p w14:paraId="7B8675B6" w14:textId="77777777" w:rsidR="006C113E" w:rsidRPr="00284C5F" w:rsidRDefault="006C113E" w:rsidP="006C113E">
            <w:pPr>
              <w:spacing w:before="120" w:after="120"/>
              <w:jc w:val="both"/>
            </w:pPr>
            <w:r w:rsidRPr="00284C5F">
              <w:t>“</w:t>
            </w:r>
            <w:r w:rsidRPr="00284C5F">
              <w:rPr>
                <w:b/>
                <w:bCs/>
                <w:u w:val="single"/>
              </w:rPr>
              <w:t>MW</w:t>
            </w:r>
            <w:r w:rsidRPr="00284C5F">
              <w:t>” means megawatts in alternating current, unless expressly stated in terms of direct current.</w:t>
            </w:r>
          </w:p>
          <w:p w14:paraId="07226470" w14:textId="77777777" w:rsidR="00A0519E" w:rsidRPr="00284C5F" w:rsidRDefault="006C113E" w:rsidP="006C113E">
            <w:pPr>
              <w:spacing w:before="120" w:after="120"/>
              <w:jc w:val="both"/>
            </w:pPr>
            <w:r w:rsidRPr="00284C5F">
              <w:t>“</w:t>
            </w:r>
            <w:r w:rsidRPr="00284C5F">
              <w:rPr>
                <w:b/>
                <w:bCs/>
                <w:u w:val="single"/>
              </w:rPr>
              <w:t>MWh</w:t>
            </w:r>
            <w:r w:rsidRPr="00284C5F">
              <w:t xml:space="preserve">” means megawatt-hour measured </w:t>
            </w:r>
            <w:r w:rsidRPr="00284C5F">
              <w:rPr>
                <w:color w:val="000000" w:themeColor="text1"/>
              </w:rPr>
              <w:t xml:space="preserve">in alternating current, </w:t>
            </w:r>
            <w:r w:rsidRPr="00284C5F">
              <w:rPr>
                <w:bCs/>
              </w:rPr>
              <w:t>unless expressly stated in terms of direct current</w:t>
            </w:r>
            <w:r w:rsidRPr="00284C5F">
              <w:t xml:space="preserve">. </w:t>
            </w:r>
          </w:p>
          <w:p w14:paraId="4D73D64F" w14:textId="77777777" w:rsidR="00A0519E" w:rsidRPr="00284C5F" w:rsidRDefault="00A0519E" w:rsidP="003D1B83">
            <w:pPr>
              <w:jc w:val="both"/>
            </w:pPr>
            <w:r w:rsidRPr="00284C5F">
              <w:t>“</w:t>
            </w:r>
            <w:r w:rsidRPr="00284C5F">
              <w:rPr>
                <w:b/>
                <w:u w:val="single"/>
              </w:rPr>
              <w:t>Production Tax Credits</w:t>
            </w:r>
            <w:r w:rsidRPr="00284C5F">
              <w:t>” or “</w:t>
            </w:r>
            <w:r w:rsidRPr="00284C5F">
              <w:rPr>
                <w:b/>
                <w:u w:val="single"/>
              </w:rPr>
              <w:t>PTCs</w:t>
            </w:r>
            <w:r w:rsidRPr="00284C5F">
              <w:t>” means production tax credit under Section 45 of the Internal Revenue Code as in effect from time-to-time throughout the Delivery Term or any successor or other provision providing for a federal tax credit determined by reference to renewable electric energy produced from wind or other renewable energy resources for which Seller, as the owner of the Generating Facility, is eligible.</w:t>
            </w:r>
          </w:p>
          <w:p w14:paraId="7CC2B8A9" w14:textId="056FC2A4" w:rsidR="0014727A" w:rsidRPr="00284C5F" w:rsidRDefault="00A0519E" w:rsidP="00A0519E">
            <w:pPr>
              <w:spacing w:before="120" w:after="120"/>
              <w:jc w:val="both"/>
            </w:pPr>
            <w:r w:rsidRPr="00284C5F">
              <w:t>“</w:t>
            </w:r>
            <w:r w:rsidRPr="00284C5F">
              <w:rPr>
                <w:b/>
                <w:u w:val="single"/>
              </w:rPr>
              <w:t>PTC Amount</w:t>
            </w:r>
            <w:r w:rsidRPr="00284C5F">
              <w:t>” means the amount, on a dollar per MWh basis, equal to the Production Tax Credits that Seller would have earned in respect of energy from the Facility at the time, grossed up on an after tax basis at the then-highest marginal combined federal and state corporate tax rate, but failed to earn as a result of Buyer Bid Curtailment or Buyer Curtailment Order, which amount will be calculated by reference to the amount of Deemed Delivered Energy and the number of the Facility’s wind turbines that are eligible to receive Production Tax Credits at the time of determination.</w:t>
            </w:r>
            <w:r w:rsidR="006C113E" w:rsidRPr="00284C5F">
              <w:t xml:space="preserve"> </w:t>
            </w:r>
          </w:p>
        </w:tc>
      </w:tr>
    </w:tbl>
    <w:p w14:paraId="2D744C0F" w14:textId="77777777" w:rsidR="00713B1C" w:rsidRPr="00284C5F" w:rsidRDefault="00713B1C" w:rsidP="00F3434A"/>
    <w:p w14:paraId="283E0259" w14:textId="6273AA42" w:rsidR="00A730A0" w:rsidRPr="00284C5F" w:rsidRDefault="00A730A0" w:rsidP="00A730A0">
      <w:pPr>
        <w:pStyle w:val="ListParagraph"/>
        <w:numPr>
          <w:ilvl w:val="0"/>
          <w:numId w:val="44"/>
        </w:numPr>
        <w:ind w:hanging="720"/>
        <w:jc w:val="both"/>
        <w:rPr>
          <w:b/>
          <w:bCs/>
        </w:rPr>
      </w:pPr>
      <w:r w:rsidRPr="00284C5F">
        <w:rPr>
          <w:b/>
          <w:bCs/>
        </w:rPr>
        <w:t>Additional Term Sheet Provisions</w:t>
      </w:r>
      <w:r w:rsidR="00AF6A4E" w:rsidRPr="00284C5F">
        <w:rPr>
          <w:b/>
          <w:bCs/>
        </w:rPr>
        <w:t>.</w:t>
      </w:r>
    </w:p>
    <w:p w14:paraId="345391FF" w14:textId="77777777" w:rsidR="00A730A0" w:rsidRPr="00284C5F" w:rsidRDefault="00A730A0" w:rsidP="00A730A0">
      <w:pPr>
        <w:pStyle w:val="ListParagraph"/>
        <w:jc w:val="both"/>
      </w:pPr>
    </w:p>
    <w:p w14:paraId="40E75FB0" w14:textId="650BA6A8" w:rsidR="00876731" w:rsidRPr="00284C5F" w:rsidRDefault="007D18DA" w:rsidP="00876731">
      <w:pPr>
        <w:pStyle w:val="ListParagraph"/>
        <w:numPr>
          <w:ilvl w:val="0"/>
          <w:numId w:val="40"/>
        </w:numPr>
        <w:ind w:hanging="720"/>
        <w:jc w:val="both"/>
      </w:pPr>
      <w:r w:rsidRPr="00284C5F">
        <w:rPr>
          <w:b/>
          <w:snapToGrid w:val="0"/>
        </w:rPr>
        <w:t>No</w:t>
      </w:r>
      <w:r w:rsidR="00876731" w:rsidRPr="00284C5F">
        <w:rPr>
          <w:b/>
          <w:snapToGrid w:val="0"/>
        </w:rPr>
        <w:t xml:space="preserve"> Obligat</w:t>
      </w:r>
      <w:r w:rsidRPr="00284C5F">
        <w:rPr>
          <w:b/>
          <w:snapToGrid w:val="0"/>
        </w:rPr>
        <w:t>ion</w:t>
      </w:r>
      <w:r w:rsidR="00876731" w:rsidRPr="00284C5F">
        <w:rPr>
          <w:b/>
          <w:snapToGrid w:val="0"/>
        </w:rPr>
        <w:t xml:space="preserve"> to Enter Into Proposed Transaction</w:t>
      </w:r>
      <w:r w:rsidR="00876731" w:rsidRPr="00284C5F">
        <w:rPr>
          <w:snapToGrid w:val="0"/>
        </w:rPr>
        <w:t>.</w:t>
      </w:r>
      <w:r w:rsidR="00876731" w:rsidRPr="00284C5F">
        <w:t xml:space="preserve"> </w:t>
      </w:r>
      <w:r w:rsidR="00727C5D" w:rsidRPr="00284C5F">
        <w:t xml:space="preserve"> </w:t>
      </w:r>
      <w:r w:rsidR="00876731" w:rsidRPr="00284C5F">
        <w:rPr>
          <w:snapToGrid w:val="0"/>
        </w:rPr>
        <w:t xml:space="preserve">This Term Sheet is intended to provide an overview of the Proposed Transaction and is not intended to constitute a binding contract or an offer to enter into a </w:t>
      </w:r>
      <w:r w:rsidR="00C737B7" w:rsidRPr="00284C5F">
        <w:rPr>
          <w:snapToGrid w:val="0"/>
        </w:rPr>
        <w:t>PPA</w:t>
      </w:r>
      <w:r w:rsidR="00876731" w:rsidRPr="00284C5F">
        <w:rPr>
          <w:snapToGrid w:val="0"/>
        </w:rPr>
        <w:t xml:space="preserve"> with respect to the Proposed Transaction and does not obligate </w:t>
      </w:r>
      <w:r w:rsidR="00831991" w:rsidRPr="00284C5F">
        <w:rPr>
          <w:snapToGrid w:val="0"/>
        </w:rPr>
        <w:t>either</w:t>
      </w:r>
      <w:r w:rsidR="00876731" w:rsidRPr="00284C5F">
        <w:rPr>
          <w:snapToGrid w:val="0"/>
        </w:rPr>
        <w:t xml:space="preserve"> Party to enter into the Proposed Transaction or execute any agreement, including the PPA, in connection with the Proposed Transaction.  </w:t>
      </w:r>
      <w:r w:rsidRPr="00284C5F">
        <w:rPr>
          <w:snapToGrid w:val="0"/>
        </w:rPr>
        <w:t>N</w:t>
      </w:r>
      <w:r w:rsidR="00831991" w:rsidRPr="00284C5F">
        <w:rPr>
          <w:snapToGrid w:val="0"/>
        </w:rPr>
        <w:t>either</w:t>
      </w:r>
      <w:r w:rsidR="00876731" w:rsidRPr="00284C5F">
        <w:rPr>
          <w:snapToGrid w:val="0"/>
        </w:rPr>
        <w:t xml:space="preserve"> Party will be deemed to have agreed to the PPA </w:t>
      </w:r>
      <w:r w:rsidRPr="00284C5F">
        <w:rPr>
          <w:snapToGrid w:val="0"/>
        </w:rPr>
        <w:t>or</w:t>
      </w:r>
      <w:r w:rsidR="00876731" w:rsidRPr="00284C5F">
        <w:rPr>
          <w:snapToGrid w:val="0"/>
        </w:rPr>
        <w:t xml:space="preserve"> will be bound by any term thereof, unless and until authorized representatives of </w:t>
      </w:r>
      <w:r w:rsidRPr="00284C5F">
        <w:rPr>
          <w:snapToGrid w:val="0"/>
        </w:rPr>
        <w:t>Buyer and Seller have</w:t>
      </w:r>
      <w:r w:rsidR="00876731" w:rsidRPr="00284C5F">
        <w:rPr>
          <w:snapToGrid w:val="0"/>
        </w:rPr>
        <w:t xml:space="preserve"> execute</w:t>
      </w:r>
      <w:r w:rsidRPr="00284C5F">
        <w:rPr>
          <w:snapToGrid w:val="0"/>
        </w:rPr>
        <w:t>d</w:t>
      </w:r>
      <w:r w:rsidR="00876731" w:rsidRPr="00284C5F">
        <w:rPr>
          <w:snapToGrid w:val="0"/>
        </w:rPr>
        <w:t xml:space="preserve"> final definitive documents, enforceable in accordance with their terms.</w:t>
      </w:r>
    </w:p>
    <w:p w14:paraId="074EB271" w14:textId="77777777" w:rsidR="00876731" w:rsidRPr="00284C5F" w:rsidRDefault="00876731" w:rsidP="00876731">
      <w:pPr>
        <w:ind w:hanging="720"/>
        <w:jc w:val="both"/>
      </w:pPr>
    </w:p>
    <w:p w14:paraId="712041CF" w14:textId="7F3D91A0" w:rsidR="00876731" w:rsidRPr="00284C5F" w:rsidRDefault="00876731" w:rsidP="00876731">
      <w:pPr>
        <w:pStyle w:val="ListParagraph"/>
        <w:numPr>
          <w:ilvl w:val="0"/>
          <w:numId w:val="40"/>
        </w:numPr>
        <w:ind w:hanging="720"/>
        <w:jc w:val="both"/>
      </w:pPr>
      <w:r w:rsidRPr="00284C5F">
        <w:rPr>
          <w:b/>
          <w:snapToGrid w:val="0"/>
        </w:rPr>
        <w:t>Other Agreements</w:t>
      </w:r>
      <w:r w:rsidRPr="00284C5F">
        <w:rPr>
          <w:snapToGrid w:val="0"/>
        </w:rPr>
        <w:t xml:space="preserve">.  In connection with this Term Sheet, </w:t>
      </w:r>
      <w:r w:rsidRPr="00284C5F">
        <w:t xml:space="preserve">Seller shall execute that certain </w:t>
      </w:r>
      <w:r w:rsidRPr="00284C5F">
        <w:rPr>
          <w:snapToGrid w:val="0"/>
        </w:rPr>
        <w:t>Exclusivity Agreement (“</w:t>
      </w:r>
      <w:r w:rsidRPr="00284C5F">
        <w:rPr>
          <w:b/>
          <w:u w:val="single"/>
        </w:rPr>
        <w:t>Exclusivity Agreement</w:t>
      </w:r>
      <w:r w:rsidRPr="00284C5F">
        <w:t xml:space="preserve">”) with </w:t>
      </w:r>
      <w:r w:rsidR="0007109E" w:rsidRPr="00284C5F">
        <w:t>Buyer</w:t>
      </w:r>
      <w:r w:rsidRPr="00284C5F">
        <w:t xml:space="preserve"> and provide a Shortlist Deposit (as defined in such agreement) of $3,000/MW </w:t>
      </w:r>
      <w:r w:rsidR="00BA786D" w:rsidRPr="00284C5F">
        <w:t xml:space="preserve">of </w:t>
      </w:r>
      <w:r w:rsidR="001A641D">
        <w:t>Guaranteed</w:t>
      </w:r>
      <w:r w:rsidR="00BA786D" w:rsidRPr="00284C5F">
        <w:t xml:space="preserve"> Capacity </w:t>
      </w:r>
      <w:r w:rsidRPr="00284C5F">
        <w:t xml:space="preserve">to </w:t>
      </w:r>
      <w:r w:rsidR="0007109E" w:rsidRPr="00284C5F">
        <w:t>Buyer</w:t>
      </w:r>
      <w:r w:rsidRPr="00284C5F">
        <w:t xml:space="preserve"> within three (3) Business Days after execution of the Exclusivity Agreement.  The Shortlist Deposit will be returned in accordance with, and subject to, the terms of the Exclusivity Agreement.</w:t>
      </w:r>
    </w:p>
    <w:p w14:paraId="7D899B34" w14:textId="77777777" w:rsidR="00876731" w:rsidRPr="00284C5F" w:rsidRDefault="00876731" w:rsidP="00876731">
      <w:pPr>
        <w:pStyle w:val="ListParagraph"/>
        <w:rPr>
          <w:b/>
          <w:snapToGrid w:val="0"/>
        </w:rPr>
      </w:pPr>
    </w:p>
    <w:p w14:paraId="23142795" w14:textId="7B5223B7" w:rsidR="00876731" w:rsidRPr="00EE1B16" w:rsidRDefault="00876731" w:rsidP="00876731">
      <w:pPr>
        <w:pStyle w:val="ListParagraph"/>
        <w:numPr>
          <w:ilvl w:val="0"/>
          <w:numId w:val="40"/>
        </w:numPr>
        <w:ind w:hanging="720"/>
        <w:jc w:val="both"/>
      </w:pPr>
      <w:r w:rsidRPr="00284C5F">
        <w:rPr>
          <w:b/>
          <w:snapToGrid w:val="0"/>
        </w:rPr>
        <w:t>Expenses</w:t>
      </w:r>
      <w:r w:rsidRPr="00284C5F">
        <w:rPr>
          <w:snapToGrid w:val="0"/>
        </w:rPr>
        <w:t>.  Each Party will pay its own costs and expenses (whether internal or out-of-pocket, and whether for legal, financial, technical or other consultants, or other purposes) in connection with the Term Sheet and any definitive agreements.</w:t>
      </w:r>
    </w:p>
    <w:p w14:paraId="19311441" w14:textId="77777777" w:rsidR="007B5E7C" w:rsidRPr="00284C5F" w:rsidRDefault="007B5E7C" w:rsidP="00DE3DB3">
      <w:pPr>
        <w:jc w:val="both"/>
      </w:pPr>
    </w:p>
    <w:p w14:paraId="2629B777" w14:textId="671EB03B" w:rsidR="003E4248" w:rsidRPr="00284C5F" w:rsidRDefault="00876731" w:rsidP="003E4248">
      <w:pPr>
        <w:pStyle w:val="ListParagraph"/>
        <w:numPr>
          <w:ilvl w:val="0"/>
          <w:numId w:val="40"/>
        </w:numPr>
        <w:ind w:hanging="720"/>
        <w:jc w:val="both"/>
      </w:pPr>
      <w:r w:rsidRPr="00284C5F">
        <w:rPr>
          <w:b/>
          <w:snapToGrid w:val="0"/>
        </w:rPr>
        <w:t>Termination</w:t>
      </w:r>
      <w:r w:rsidRPr="00284C5F">
        <w:rPr>
          <w:snapToGrid w:val="0"/>
        </w:rPr>
        <w:t>.  This Term Sheet will terminate upon the earlier of (a) execution of the PPA or (b) expiration of the Exclusivity Period (as defined in the Exclusivity Agreement), as such Exclusivity Period may be extended by the Parties in accordance with the Exclusivity Agreement.</w:t>
      </w:r>
    </w:p>
    <w:p w14:paraId="3B8F1D17" w14:textId="77777777" w:rsidR="003E4248" w:rsidRPr="00284C5F" w:rsidRDefault="003E4248" w:rsidP="003E4248">
      <w:pPr>
        <w:pStyle w:val="ListParagraph"/>
        <w:jc w:val="both"/>
      </w:pPr>
    </w:p>
    <w:p w14:paraId="15A102EB" w14:textId="77777777" w:rsidR="00876731" w:rsidRPr="00284C5F" w:rsidRDefault="00876731" w:rsidP="00876731">
      <w:pPr>
        <w:pStyle w:val="ListParagraph"/>
        <w:numPr>
          <w:ilvl w:val="0"/>
          <w:numId w:val="40"/>
        </w:numPr>
        <w:ind w:hanging="720"/>
        <w:jc w:val="both"/>
      </w:pPr>
      <w:r w:rsidRPr="00284C5F">
        <w:rPr>
          <w:b/>
          <w:snapToGrid w:val="0"/>
        </w:rPr>
        <w:t>Governing Law</w:t>
      </w:r>
      <w:r w:rsidRPr="00284C5F">
        <w:rPr>
          <w:snapToGrid w:val="0"/>
        </w:rPr>
        <w:t>.  This Term Sheet is governed by, and construed in accordance with, the laws of the State of California.</w:t>
      </w:r>
    </w:p>
    <w:p w14:paraId="3B48A3E2" w14:textId="77777777" w:rsidR="00713B1C" w:rsidRPr="00284C5F" w:rsidRDefault="00713B1C" w:rsidP="00C5270C">
      <w:pPr>
        <w:jc w:val="both"/>
        <w:rPr>
          <w:snapToGrid w:val="0"/>
        </w:rPr>
      </w:pPr>
    </w:p>
    <w:p w14:paraId="5A6CAE20" w14:textId="004BD55E" w:rsidR="00876731" w:rsidRPr="00284C5F" w:rsidRDefault="00876731" w:rsidP="00876731">
      <w:pPr>
        <w:pStyle w:val="ListParagraph"/>
        <w:numPr>
          <w:ilvl w:val="0"/>
          <w:numId w:val="40"/>
        </w:numPr>
        <w:ind w:hanging="720"/>
        <w:jc w:val="both"/>
        <w:rPr>
          <w:snapToGrid w:val="0"/>
        </w:rPr>
      </w:pPr>
      <w:r w:rsidRPr="00284C5F">
        <w:rPr>
          <w:b/>
          <w:snapToGrid w:val="0"/>
        </w:rPr>
        <w:t>Prior Agreements</w:t>
      </w:r>
      <w:r w:rsidRPr="00284C5F">
        <w:rPr>
          <w:snapToGrid w:val="0"/>
        </w:rPr>
        <w:t xml:space="preserve">. </w:t>
      </w:r>
      <w:r w:rsidR="00727C5D" w:rsidRPr="00284C5F">
        <w:rPr>
          <w:snapToGrid w:val="0"/>
        </w:rPr>
        <w:t xml:space="preserve"> </w:t>
      </w:r>
      <w:r w:rsidRPr="00284C5F">
        <w:rPr>
          <w:snapToGrid w:val="0"/>
        </w:rPr>
        <w:t xml:space="preserve">This Term Sheet supersedes all prior communications and agreements, oral or written, between </w:t>
      </w:r>
      <w:r w:rsidR="00713B1C" w:rsidRPr="00284C5F">
        <w:rPr>
          <w:snapToGrid w:val="0"/>
        </w:rPr>
        <w:t xml:space="preserve">and among </w:t>
      </w:r>
      <w:r w:rsidRPr="00284C5F">
        <w:rPr>
          <w:snapToGrid w:val="0"/>
        </w:rPr>
        <w:t>the Parties regarding the subject matter herein contemplated.</w:t>
      </w:r>
    </w:p>
    <w:p w14:paraId="1660DDA4" w14:textId="77777777" w:rsidR="00876731" w:rsidRPr="00284C5F" w:rsidRDefault="00876731" w:rsidP="00876731">
      <w:pPr>
        <w:ind w:hanging="720"/>
        <w:jc w:val="both"/>
        <w:rPr>
          <w:snapToGrid w:val="0"/>
        </w:rPr>
      </w:pPr>
    </w:p>
    <w:p w14:paraId="78AAB722" w14:textId="3E1B5434" w:rsidR="00876731" w:rsidRPr="00284C5F" w:rsidRDefault="00876731" w:rsidP="00B85FF2">
      <w:pPr>
        <w:pStyle w:val="ListParagraph"/>
        <w:numPr>
          <w:ilvl w:val="0"/>
          <w:numId w:val="40"/>
        </w:numPr>
        <w:ind w:hanging="720"/>
        <w:jc w:val="both"/>
        <w:rPr>
          <w:snapToGrid w:val="0"/>
        </w:rPr>
      </w:pPr>
      <w:r w:rsidRPr="00284C5F">
        <w:rPr>
          <w:b/>
          <w:snapToGrid w:val="0"/>
        </w:rPr>
        <w:t>Assignment</w:t>
      </w:r>
      <w:r w:rsidRPr="00284C5F">
        <w:rPr>
          <w:snapToGrid w:val="0"/>
        </w:rPr>
        <w:t xml:space="preserve">. </w:t>
      </w:r>
      <w:r w:rsidR="00727C5D" w:rsidRPr="00284C5F">
        <w:rPr>
          <w:snapToGrid w:val="0"/>
        </w:rPr>
        <w:t xml:space="preserve"> </w:t>
      </w:r>
      <w:r w:rsidRPr="00284C5F">
        <w:rPr>
          <w:snapToGrid w:val="0"/>
        </w:rPr>
        <w:t xml:space="preserve">This Term Sheet will be binding upon and inure to the benefit of the Parties and their respective successors and permitted assigns. </w:t>
      </w:r>
      <w:r w:rsidR="00713B1C" w:rsidRPr="00284C5F">
        <w:rPr>
          <w:snapToGrid w:val="0"/>
        </w:rPr>
        <w:t>No</w:t>
      </w:r>
      <w:r w:rsidRPr="00284C5F">
        <w:rPr>
          <w:snapToGrid w:val="0"/>
        </w:rPr>
        <w:t xml:space="preserve"> Party will assign, pledge or otherwise transfer this Term Sheet or any right or obligation under this Term Sheet without first obtaining the other Part</w:t>
      </w:r>
      <w:r w:rsidR="00713B1C" w:rsidRPr="00284C5F">
        <w:rPr>
          <w:snapToGrid w:val="0"/>
        </w:rPr>
        <w:t>ie</w:t>
      </w:r>
      <w:r w:rsidRPr="00284C5F">
        <w:rPr>
          <w:snapToGrid w:val="0"/>
        </w:rPr>
        <w:t>s</w:t>
      </w:r>
      <w:r w:rsidR="00713B1C" w:rsidRPr="00284C5F">
        <w:rPr>
          <w:snapToGrid w:val="0"/>
        </w:rPr>
        <w:t>’</w:t>
      </w:r>
      <w:r w:rsidRPr="00284C5F">
        <w:rPr>
          <w:snapToGrid w:val="0"/>
        </w:rPr>
        <w:t xml:space="preserve"> prior written consent (which consent will not be unreasonably withheld, delayed, or encumbered).</w:t>
      </w:r>
    </w:p>
    <w:p w14:paraId="397A1CD1" w14:textId="77777777" w:rsidR="00115F92" w:rsidRPr="00284C5F" w:rsidRDefault="00115F92" w:rsidP="00115F92">
      <w:pPr>
        <w:pStyle w:val="ListParagraph"/>
        <w:jc w:val="both"/>
        <w:rPr>
          <w:snapToGrid w:val="0"/>
        </w:rPr>
      </w:pPr>
    </w:p>
    <w:p w14:paraId="704CC1A0" w14:textId="48D816E5" w:rsidR="00876731" w:rsidRPr="00DD519A" w:rsidRDefault="00876731" w:rsidP="00876731">
      <w:pPr>
        <w:pStyle w:val="ListParagraph"/>
        <w:numPr>
          <w:ilvl w:val="0"/>
          <w:numId w:val="40"/>
        </w:numPr>
        <w:ind w:hanging="720"/>
        <w:jc w:val="both"/>
        <w:rPr>
          <w:snapToGrid w:val="0"/>
        </w:rPr>
      </w:pPr>
      <w:r w:rsidRPr="00284C5F">
        <w:rPr>
          <w:b/>
          <w:snapToGrid w:val="0"/>
        </w:rPr>
        <w:t>No Consequential Damages</w:t>
      </w:r>
      <w:r w:rsidRPr="00284C5F">
        <w:rPr>
          <w:snapToGrid w:val="0"/>
        </w:rPr>
        <w:t xml:space="preserve">.  IN NO EVENT SHALL </w:t>
      </w:r>
      <w:r w:rsidR="00713B1C" w:rsidRPr="00284C5F">
        <w:rPr>
          <w:snapToGrid w:val="0"/>
        </w:rPr>
        <w:t>ANY</w:t>
      </w:r>
      <w:r w:rsidRPr="00284C5F">
        <w:rPr>
          <w:snapToGrid w:val="0"/>
        </w:rPr>
        <w:t xml:space="preserve"> PARTY, ITS AFFILIATES AND/OR REPRESENTATIVES BE LIABLE FOR ANY LOST OR PROSPECTIVE PROFITS OR ANY OTHER CONSEQUENTIAL, INCIDENTAL, SPECIAL, PUNITIVE, INDIRECT OR EXEMPLARY DAMAGES UNDER OR IN RESPECT TO THIS </w:t>
      </w:r>
      <w:r w:rsidR="00A730A0" w:rsidRPr="00284C5F">
        <w:rPr>
          <w:snapToGrid w:val="0"/>
        </w:rPr>
        <w:t>TERM SHEET</w:t>
      </w:r>
      <w:r w:rsidRPr="00284C5F">
        <w:rPr>
          <w:snapToGrid w:val="0"/>
        </w:rPr>
        <w:t>.</w:t>
      </w:r>
    </w:p>
    <w:p w14:paraId="0F091B33" w14:textId="24B84A77" w:rsidR="005C774B" w:rsidRPr="00284C5F" w:rsidRDefault="005C774B" w:rsidP="009651BD"/>
    <w:sectPr w:rsidR="005C774B" w:rsidRPr="00284C5F" w:rsidSect="00990732">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BAHIAdABpAGMAbABlAF8ATAAxAA==" wne:acdName="acd0" wne:fciIndexBasedOn="0065"/>
    <wne:acd wne:argValue="AgBBAHIAdABpAGMAbABlAF8ATAAyAA==" wne:acdName="acd1" wne:fciIndexBasedOn="0065"/>
    <wne:acd wne:argValue="AgBBAHIAdABpAGMAbABlAF8ATAAzAA==" wne:acdName="acd2" wne:fciIndexBasedOn="0065"/>
    <wne:acd wne:argValue="AgBBAHIAdABpAGMAbABlAF8ATAA0AA==" wne:acdName="acd3" wne:fciIndexBasedOn="0065"/>
    <wne:acd wne:argValue="AgBBAHIAdABpAGMAbABlAF8ATAA1AA==" wne:acdName="acd4" wne:fciIndexBasedOn="0065"/>
    <wne:acd wne:argValue="AgBBAHIAdABpAGMAbABlAF8ATAA2AA==" wne:acdName="acd5" wne:fciIndexBasedOn="0065"/>
    <wne:acd wne:argValue="AgBBAHIAdABpAGMAbABlAF8ATAA3AA==" wne:acdName="acd6" wne:fciIndexBasedOn="0065"/>
    <wne:acd wne:argValue="AgBBAHIAdABpAGMAbABlAF8ATAA4AA==" wne:acdName="acd7" wne:fciIndexBasedOn="0065"/>
    <wne:acd wne:argValue="AgBBAHIAdABpAGMAbABlAF8ATAA5A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397C9" w14:textId="77777777" w:rsidR="00C05FD0" w:rsidRDefault="00C05FD0" w:rsidP="00976FF5">
      <w:r>
        <w:separator/>
      </w:r>
    </w:p>
  </w:endnote>
  <w:endnote w:type="continuationSeparator" w:id="0">
    <w:p w14:paraId="54AFB3D8" w14:textId="77777777" w:rsidR="00C05FD0" w:rsidRDefault="00C05FD0" w:rsidP="00976FF5">
      <w:r>
        <w:continuationSeparator/>
      </w:r>
    </w:p>
  </w:endnote>
  <w:endnote w:type="continuationNotice" w:id="1">
    <w:p w14:paraId="72161532" w14:textId="77777777" w:rsidR="00C05FD0" w:rsidRDefault="00C05F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arrington">
    <w:charset w:val="4D"/>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6901" w14:textId="77777777" w:rsidR="0086492B" w:rsidRDefault="0086492B">
    <w:pPr>
      <w:pStyle w:val="Footer"/>
    </w:pPr>
  </w:p>
  <w:p w14:paraId="76E428A8" w14:textId="77777777" w:rsidR="0086492B" w:rsidRDefault="0086492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767857"/>
      <w:docPartObj>
        <w:docPartGallery w:val="Page Numbers (Bottom of Page)"/>
        <w:docPartUnique/>
      </w:docPartObj>
    </w:sdtPr>
    <w:sdtEndPr>
      <w:rPr>
        <w:noProof/>
      </w:rPr>
    </w:sdtEndPr>
    <w:sdtContent>
      <w:p w14:paraId="0F1F553D" w14:textId="5CF984A1" w:rsidR="0086492B" w:rsidRPr="00DD519A" w:rsidRDefault="0086492B" w:rsidP="00DD519A">
        <w:pPr>
          <w:pStyle w:val="Footer"/>
          <w:jc w:val="right"/>
        </w:pPr>
        <w:r w:rsidRPr="003F2574">
          <w:rPr>
            <w:rFonts w:ascii="Arial" w:hAnsi="Arial" w:cs="Arial"/>
            <w:sz w:val="16"/>
            <w:szCs w:val="16"/>
          </w:rPr>
          <w:fldChar w:fldCharType="begin"/>
        </w:r>
        <w:r w:rsidRPr="003F2574">
          <w:rPr>
            <w:rFonts w:ascii="Arial" w:hAnsi="Arial" w:cs="Arial"/>
            <w:sz w:val="16"/>
            <w:szCs w:val="16"/>
          </w:rPr>
          <w:instrText xml:space="preserve"> PAGE   \* MERGEFORMAT </w:instrText>
        </w:r>
        <w:r w:rsidRPr="003F2574">
          <w:rPr>
            <w:rFonts w:ascii="Arial" w:hAnsi="Arial" w:cs="Arial"/>
            <w:sz w:val="16"/>
            <w:szCs w:val="16"/>
          </w:rPr>
          <w:fldChar w:fldCharType="separate"/>
        </w:r>
        <w:r w:rsidR="00981E4F">
          <w:rPr>
            <w:rFonts w:ascii="Arial" w:hAnsi="Arial" w:cs="Arial"/>
            <w:noProof/>
            <w:sz w:val="16"/>
            <w:szCs w:val="16"/>
          </w:rPr>
          <w:t>20</w:t>
        </w:r>
        <w:r w:rsidRPr="003F2574">
          <w:rPr>
            <w:rFonts w:ascii="Arial" w:hAnsi="Arial" w:cs="Arial"/>
            <w:noProof/>
            <w:sz w:val="16"/>
            <w:szCs w:val="16"/>
          </w:rPr>
          <w:fldChar w:fldCharType="end"/>
        </w:r>
        <w:r>
          <w:rPr>
            <w:rFonts w:ascii="Arial" w:hAnsi="Arial" w:cs="Arial"/>
            <w:noProof/>
            <w:sz w:val="16"/>
            <w:szCs w:val="16"/>
          </w:rPr>
          <w:tab/>
        </w:r>
        <w:r>
          <w:rPr>
            <w:rFonts w:ascii="Arial" w:hAnsi="Arial" w:cs="Arial"/>
            <w:noProof/>
            <w:sz w:val="16"/>
            <w:szCs w:val="16"/>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6C831" w14:textId="77777777" w:rsidR="00C05FD0" w:rsidRDefault="00C05FD0" w:rsidP="00976FF5">
      <w:r>
        <w:separator/>
      </w:r>
    </w:p>
  </w:footnote>
  <w:footnote w:type="continuationSeparator" w:id="0">
    <w:p w14:paraId="0A654797" w14:textId="77777777" w:rsidR="00C05FD0" w:rsidRDefault="00C05FD0" w:rsidP="00976FF5">
      <w:r>
        <w:continuationSeparator/>
      </w:r>
    </w:p>
  </w:footnote>
  <w:footnote w:type="continuationNotice" w:id="1">
    <w:p w14:paraId="1EA4428D" w14:textId="77777777" w:rsidR="00C05FD0" w:rsidRDefault="00C05F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0683" w14:textId="1A44FF58" w:rsidR="0086492B" w:rsidRDefault="00130F92" w:rsidP="00130F92">
    <w:pPr>
      <w:jc w:val="center"/>
    </w:pPr>
    <w:r>
      <w:rPr>
        <w:sz w:val="20"/>
      </w:rPr>
      <w:t xml:space="preserve">Peninsula Clean Energy </w:t>
    </w:r>
    <w:r w:rsidR="00470581">
      <w:rPr>
        <w:sz w:val="20"/>
      </w:rPr>
      <w:t xml:space="preserve">Authority </w:t>
    </w:r>
    <w:r w:rsidR="00A828DD">
      <w:rPr>
        <w:sz w:val="20"/>
      </w:rPr>
      <w:t>CSGT Term Sheet for Resources Less than 1 MW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48FE"/>
    <w:multiLevelType w:val="hybridMultilevel"/>
    <w:tmpl w:val="8416A5B4"/>
    <w:lvl w:ilvl="0" w:tplc="B3E03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161809"/>
    <w:multiLevelType w:val="hybridMultilevel"/>
    <w:tmpl w:val="95F68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37980"/>
    <w:multiLevelType w:val="hybridMultilevel"/>
    <w:tmpl w:val="CED4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22ED2"/>
    <w:multiLevelType w:val="hybridMultilevel"/>
    <w:tmpl w:val="F4B0C500"/>
    <w:lvl w:ilvl="0" w:tplc="7A3A6FC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11EA1"/>
    <w:multiLevelType w:val="hybridMultilevel"/>
    <w:tmpl w:val="B6569566"/>
    <w:lvl w:ilvl="0" w:tplc="D49E5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353AB"/>
    <w:multiLevelType w:val="multilevel"/>
    <w:tmpl w:val="E578C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CA2151"/>
    <w:multiLevelType w:val="hybridMultilevel"/>
    <w:tmpl w:val="170CAF4C"/>
    <w:lvl w:ilvl="0" w:tplc="44141AB0">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11535848"/>
    <w:multiLevelType w:val="hybridMultilevel"/>
    <w:tmpl w:val="7BC82A98"/>
    <w:lvl w:ilvl="0" w:tplc="26A8609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E45411"/>
    <w:multiLevelType w:val="hybridMultilevel"/>
    <w:tmpl w:val="91887C08"/>
    <w:lvl w:ilvl="0" w:tplc="8586DCEA">
      <w:start w:val="1"/>
      <w:numFmt w:val="lowerRoman"/>
      <w:lvlText w:val="(%1)"/>
      <w:lvlJc w:val="left"/>
      <w:pPr>
        <w:ind w:left="1080" w:hanging="720"/>
      </w:pPr>
      <w:rPr>
        <w:rFonts w:hint="default"/>
      </w:rPr>
    </w:lvl>
    <w:lvl w:ilvl="1" w:tplc="A71A3074" w:tentative="1">
      <w:start w:val="1"/>
      <w:numFmt w:val="lowerLetter"/>
      <w:lvlText w:val="%2."/>
      <w:lvlJc w:val="left"/>
      <w:pPr>
        <w:ind w:left="1440" w:hanging="360"/>
      </w:pPr>
    </w:lvl>
    <w:lvl w:ilvl="2" w:tplc="553A04AA" w:tentative="1">
      <w:start w:val="1"/>
      <w:numFmt w:val="lowerRoman"/>
      <w:lvlText w:val="%3."/>
      <w:lvlJc w:val="right"/>
      <w:pPr>
        <w:ind w:left="2160" w:hanging="180"/>
      </w:pPr>
    </w:lvl>
    <w:lvl w:ilvl="3" w:tplc="4404BDAE" w:tentative="1">
      <w:start w:val="1"/>
      <w:numFmt w:val="decimal"/>
      <w:lvlText w:val="%4."/>
      <w:lvlJc w:val="left"/>
      <w:pPr>
        <w:ind w:left="2880" w:hanging="360"/>
      </w:pPr>
    </w:lvl>
    <w:lvl w:ilvl="4" w:tplc="3DC4EC58" w:tentative="1">
      <w:start w:val="1"/>
      <w:numFmt w:val="lowerLetter"/>
      <w:lvlText w:val="%5."/>
      <w:lvlJc w:val="left"/>
      <w:pPr>
        <w:ind w:left="3600" w:hanging="360"/>
      </w:pPr>
    </w:lvl>
    <w:lvl w:ilvl="5" w:tplc="7B643C94" w:tentative="1">
      <w:start w:val="1"/>
      <w:numFmt w:val="lowerRoman"/>
      <w:lvlText w:val="%6."/>
      <w:lvlJc w:val="right"/>
      <w:pPr>
        <w:ind w:left="4320" w:hanging="180"/>
      </w:pPr>
    </w:lvl>
    <w:lvl w:ilvl="6" w:tplc="43AEC51E" w:tentative="1">
      <w:start w:val="1"/>
      <w:numFmt w:val="decimal"/>
      <w:lvlText w:val="%7."/>
      <w:lvlJc w:val="left"/>
      <w:pPr>
        <w:ind w:left="5040" w:hanging="360"/>
      </w:pPr>
    </w:lvl>
    <w:lvl w:ilvl="7" w:tplc="8246548E" w:tentative="1">
      <w:start w:val="1"/>
      <w:numFmt w:val="lowerLetter"/>
      <w:lvlText w:val="%8."/>
      <w:lvlJc w:val="left"/>
      <w:pPr>
        <w:ind w:left="5760" w:hanging="360"/>
      </w:pPr>
    </w:lvl>
    <w:lvl w:ilvl="8" w:tplc="5754B342" w:tentative="1">
      <w:start w:val="1"/>
      <w:numFmt w:val="lowerRoman"/>
      <w:lvlText w:val="%9."/>
      <w:lvlJc w:val="right"/>
      <w:pPr>
        <w:ind w:left="6480" w:hanging="180"/>
      </w:pPr>
    </w:lvl>
  </w:abstractNum>
  <w:abstractNum w:abstractNumId="9" w15:restartNumberingAfterBreak="0">
    <w:nsid w:val="144A7DEE"/>
    <w:multiLevelType w:val="multilevel"/>
    <w:tmpl w:val="774AC8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535F83"/>
    <w:multiLevelType w:val="hybridMultilevel"/>
    <w:tmpl w:val="6F72E47C"/>
    <w:lvl w:ilvl="0" w:tplc="D9FE9458">
      <w:start w:val="1"/>
      <w:numFmt w:val="decimal"/>
      <w:lvlText w:val="(%1)"/>
      <w:lvlJc w:val="left"/>
      <w:pPr>
        <w:ind w:left="720" w:hanging="360"/>
      </w:pPr>
      <w:rPr>
        <w:rFonts w:hint="default"/>
      </w:rPr>
    </w:lvl>
    <w:lvl w:ilvl="1" w:tplc="60FE5B6A" w:tentative="1">
      <w:start w:val="1"/>
      <w:numFmt w:val="lowerLetter"/>
      <w:lvlText w:val="%2."/>
      <w:lvlJc w:val="left"/>
      <w:pPr>
        <w:ind w:left="1440" w:hanging="360"/>
      </w:pPr>
    </w:lvl>
    <w:lvl w:ilvl="2" w:tplc="8190EEEA" w:tentative="1">
      <w:start w:val="1"/>
      <w:numFmt w:val="lowerRoman"/>
      <w:lvlText w:val="%3."/>
      <w:lvlJc w:val="right"/>
      <w:pPr>
        <w:ind w:left="2160" w:hanging="180"/>
      </w:pPr>
    </w:lvl>
    <w:lvl w:ilvl="3" w:tplc="14E6014C" w:tentative="1">
      <w:start w:val="1"/>
      <w:numFmt w:val="decimal"/>
      <w:lvlText w:val="%4."/>
      <w:lvlJc w:val="left"/>
      <w:pPr>
        <w:ind w:left="2880" w:hanging="360"/>
      </w:pPr>
    </w:lvl>
    <w:lvl w:ilvl="4" w:tplc="0A0A69CA" w:tentative="1">
      <w:start w:val="1"/>
      <w:numFmt w:val="lowerLetter"/>
      <w:lvlText w:val="%5."/>
      <w:lvlJc w:val="left"/>
      <w:pPr>
        <w:ind w:left="3600" w:hanging="360"/>
      </w:pPr>
    </w:lvl>
    <w:lvl w:ilvl="5" w:tplc="FE046474" w:tentative="1">
      <w:start w:val="1"/>
      <w:numFmt w:val="lowerRoman"/>
      <w:lvlText w:val="%6."/>
      <w:lvlJc w:val="right"/>
      <w:pPr>
        <w:ind w:left="4320" w:hanging="180"/>
      </w:pPr>
    </w:lvl>
    <w:lvl w:ilvl="6" w:tplc="4A96B72A" w:tentative="1">
      <w:start w:val="1"/>
      <w:numFmt w:val="decimal"/>
      <w:lvlText w:val="%7."/>
      <w:lvlJc w:val="left"/>
      <w:pPr>
        <w:ind w:left="5040" w:hanging="360"/>
      </w:pPr>
    </w:lvl>
    <w:lvl w:ilvl="7" w:tplc="562A25AA" w:tentative="1">
      <w:start w:val="1"/>
      <w:numFmt w:val="lowerLetter"/>
      <w:lvlText w:val="%8."/>
      <w:lvlJc w:val="left"/>
      <w:pPr>
        <w:ind w:left="5760" w:hanging="360"/>
      </w:pPr>
    </w:lvl>
    <w:lvl w:ilvl="8" w:tplc="33ACDC42" w:tentative="1">
      <w:start w:val="1"/>
      <w:numFmt w:val="lowerRoman"/>
      <w:lvlText w:val="%9."/>
      <w:lvlJc w:val="right"/>
      <w:pPr>
        <w:ind w:left="6480" w:hanging="180"/>
      </w:pPr>
    </w:lvl>
  </w:abstractNum>
  <w:abstractNum w:abstractNumId="11" w15:restartNumberingAfterBreak="0">
    <w:nsid w:val="193C4B66"/>
    <w:multiLevelType w:val="multilevel"/>
    <w:tmpl w:val="9DDEBB00"/>
    <w:lvl w:ilvl="0">
      <w:start w:val="1"/>
      <w:numFmt w:val="decimal"/>
      <w:suff w:val="nothing"/>
      <w:lvlText w:val="ARTICLE %1"/>
      <w:lvlJc w:val="left"/>
      <w:pPr>
        <w:ind w:left="0" w:firstLine="0"/>
      </w:pPr>
      <w:rPr>
        <w:rFonts w:ascii="Times New Roman Bold" w:hAnsi="Times New Roman Bold" w:cs="Cambria" w:hint="default"/>
        <w:b/>
        <w:bCs/>
        <w:strike w:val="0"/>
        <w:dstrike w:val="0"/>
        <w:sz w:val="24"/>
        <w:szCs w:val="24"/>
      </w:rPr>
    </w:lvl>
    <w:lvl w:ilvl="1">
      <w:start w:val="1"/>
      <w:numFmt w:val="decimal"/>
      <w:lvlText w:val="%1.%2"/>
      <w:lvlJc w:val="left"/>
      <w:pPr>
        <w:tabs>
          <w:tab w:val="num" w:pos="1890"/>
        </w:tabs>
        <w:ind w:left="0" w:firstLine="720"/>
      </w:pPr>
      <w:rPr>
        <w:rFonts w:ascii="Times New Roman" w:hAnsi="Times New Roman" w:cs="Times New Roman" w:hint="default"/>
        <w:b w:val="0"/>
        <w:bCs w:val="0"/>
        <w:i w:val="0"/>
        <w:iCs w:val="0"/>
        <w:caps w:val="0"/>
        <w:strike w:val="0"/>
        <w:dstrike w:val="0"/>
        <w:sz w:val="24"/>
        <w:szCs w:val="24"/>
      </w:rPr>
    </w:lvl>
    <w:lvl w:ilvl="2">
      <w:start w:val="1"/>
      <w:numFmt w:val="lowerLetter"/>
      <w:lvlText w:val="(%3)"/>
      <w:lvlJc w:val="left"/>
      <w:pPr>
        <w:tabs>
          <w:tab w:val="num" w:pos="2250"/>
        </w:tabs>
        <w:ind w:left="0" w:firstLine="1440"/>
      </w:pPr>
      <w:rPr>
        <w:rFonts w:ascii="Times New Roman" w:hAnsi="Times New Roman" w:cs="Times New Roman" w:hint="default"/>
        <w:b w:val="0"/>
        <w:bCs w:val="0"/>
        <w:i w:val="0"/>
        <w:iCs w:val="0"/>
        <w:strike w:val="0"/>
        <w:dstrike w:val="0"/>
        <w:sz w:val="24"/>
        <w:szCs w:val="24"/>
      </w:rPr>
    </w:lvl>
    <w:lvl w:ilvl="3">
      <w:start w:val="1"/>
      <w:numFmt w:val="lowerRoman"/>
      <w:lvlText w:val="(%4)"/>
      <w:lvlJc w:val="left"/>
      <w:pPr>
        <w:tabs>
          <w:tab w:val="num" w:pos="3240"/>
        </w:tabs>
        <w:ind w:left="360" w:firstLine="2160"/>
      </w:pPr>
      <w:rPr>
        <w:rFonts w:ascii="Times New Roman" w:hAnsi="Times New Roman" w:cs="Times New Roman" w:hint="default"/>
        <w:b w:val="0"/>
        <w:bCs w:val="0"/>
        <w:i w:val="0"/>
        <w:iCs w:val="0"/>
        <w:strike w:val="0"/>
        <w:dstrike w:val="0"/>
        <w:sz w:val="24"/>
        <w:szCs w:val="24"/>
      </w:rPr>
    </w:lvl>
    <w:lvl w:ilvl="4">
      <w:start w:val="1"/>
      <w:numFmt w:val="upperLetter"/>
      <w:lvlText w:val="(%5)"/>
      <w:lvlJc w:val="left"/>
      <w:pPr>
        <w:tabs>
          <w:tab w:val="num" w:pos="3600"/>
        </w:tabs>
        <w:ind w:left="2880" w:firstLine="0"/>
      </w:pPr>
      <w:rPr>
        <w:rFonts w:ascii="Times New Roman" w:hAnsi="Times New Roman" w:cs="Cambria" w:hint="default"/>
        <w:b w:val="0"/>
        <w:bCs w:val="0"/>
        <w:i w:val="0"/>
        <w:iCs w:val="0"/>
        <w:strike w:val="0"/>
        <w:dstrike w:val="0"/>
        <w:sz w:val="24"/>
        <w:szCs w:val="24"/>
      </w:rPr>
    </w:lvl>
    <w:lvl w:ilvl="5">
      <w:start w:val="1"/>
      <w:numFmt w:val="lowerRoman"/>
      <w:lvlText w:val="(%6)"/>
      <w:lvlJc w:val="left"/>
      <w:pPr>
        <w:tabs>
          <w:tab w:val="num" w:pos="1440"/>
        </w:tabs>
        <w:ind w:left="1440" w:firstLine="0"/>
      </w:pPr>
      <w:rPr>
        <w:rFonts w:cs="Times New Roman" w:hint="default"/>
        <w:strike w:val="0"/>
        <w:dstrike w:val="0"/>
      </w:rPr>
    </w:lvl>
    <w:lvl w:ilvl="6">
      <w:start w:val="1"/>
      <w:numFmt w:val="decimal"/>
      <w:lvlText w:val="%7."/>
      <w:lvlJc w:val="left"/>
      <w:pPr>
        <w:tabs>
          <w:tab w:val="num" w:pos="1440"/>
        </w:tabs>
        <w:ind w:left="1440" w:firstLine="0"/>
      </w:pPr>
      <w:rPr>
        <w:rFonts w:cs="Times New Roman" w:hint="default"/>
        <w:strike w:val="0"/>
        <w:dstrike w:val="0"/>
      </w:rPr>
    </w:lvl>
    <w:lvl w:ilvl="7">
      <w:start w:val="1"/>
      <w:numFmt w:val="lowerLetter"/>
      <w:lvlText w:val="(%8)"/>
      <w:lvlJc w:val="left"/>
      <w:pPr>
        <w:tabs>
          <w:tab w:val="num" w:pos="1440"/>
        </w:tabs>
        <w:ind w:left="1440" w:firstLine="0"/>
      </w:pPr>
      <w:rPr>
        <w:rFonts w:ascii="Times New Roman" w:eastAsia="Times New Roman" w:hAnsi="Times New Roman" w:cs="Times New Roman" w:hint="default"/>
        <w:strike w:val="0"/>
        <w:dstrike w:val="0"/>
      </w:rPr>
    </w:lvl>
    <w:lvl w:ilvl="8">
      <w:start w:val="1"/>
      <w:numFmt w:val="lowerRoman"/>
      <w:lvlText w:val="%9."/>
      <w:lvlJc w:val="left"/>
      <w:pPr>
        <w:tabs>
          <w:tab w:val="num" w:pos="1440"/>
        </w:tabs>
        <w:ind w:left="1440" w:firstLine="0"/>
      </w:pPr>
      <w:rPr>
        <w:rFonts w:cs="Times New Roman" w:hint="default"/>
        <w:strike w:val="0"/>
        <w:dstrike w:val="0"/>
      </w:rPr>
    </w:lvl>
  </w:abstractNum>
  <w:abstractNum w:abstractNumId="12" w15:restartNumberingAfterBreak="0">
    <w:nsid w:val="197B3C34"/>
    <w:multiLevelType w:val="hybridMultilevel"/>
    <w:tmpl w:val="10EEE80A"/>
    <w:lvl w:ilvl="0" w:tplc="FCB8DF26">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1810A1A"/>
    <w:multiLevelType w:val="hybridMultilevel"/>
    <w:tmpl w:val="7F149EE0"/>
    <w:lvl w:ilvl="0" w:tplc="436E3BA4">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25D63215"/>
    <w:multiLevelType w:val="hybridMultilevel"/>
    <w:tmpl w:val="799CD642"/>
    <w:lvl w:ilvl="0" w:tplc="7B40AD38">
      <w:start w:val="1"/>
      <w:numFmt w:val="decimal"/>
      <w:lvlText w:val="(%1)"/>
      <w:lvlJc w:val="left"/>
      <w:pPr>
        <w:ind w:left="720" w:hanging="360"/>
      </w:pPr>
      <w:rPr>
        <w:rFonts w:hint="default"/>
      </w:rPr>
    </w:lvl>
    <w:lvl w:ilvl="1" w:tplc="B0986ADE" w:tentative="1">
      <w:start w:val="1"/>
      <w:numFmt w:val="lowerLetter"/>
      <w:lvlText w:val="%2."/>
      <w:lvlJc w:val="left"/>
      <w:pPr>
        <w:ind w:left="1440" w:hanging="360"/>
      </w:pPr>
    </w:lvl>
    <w:lvl w:ilvl="2" w:tplc="26D03CDA" w:tentative="1">
      <w:start w:val="1"/>
      <w:numFmt w:val="lowerRoman"/>
      <w:lvlText w:val="%3."/>
      <w:lvlJc w:val="right"/>
      <w:pPr>
        <w:ind w:left="2160" w:hanging="180"/>
      </w:pPr>
    </w:lvl>
    <w:lvl w:ilvl="3" w:tplc="CE762558" w:tentative="1">
      <w:start w:val="1"/>
      <w:numFmt w:val="decimal"/>
      <w:lvlText w:val="%4."/>
      <w:lvlJc w:val="left"/>
      <w:pPr>
        <w:ind w:left="2880" w:hanging="360"/>
      </w:pPr>
    </w:lvl>
    <w:lvl w:ilvl="4" w:tplc="2362C296" w:tentative="1">
      <w:start w:val="1"/>
      <w:numFmt w:val="lowerLetter"/>
      <w:lvlText w:val="%5."/>
      <w:lvlJc w:val="left"/>
      <w:pPr>
        <w:ind w:left="3600" w:hanging="360"/>
      </w:pPr>
    </w:lvl>
    <w:lvl w:ilvl="5" w:tplc="A65C9880" w:tentative="1">
      <w:start w:val="1"/>
      <w:numFmt w:val="lowerRoman"/>
      <w:lvlText w:val="%6."/>
      <w:lvlJc w:val="right"/>
      <w:pPr>
        <w:ind w:left="4320" w:hanging="180"/>
      </w:pPr>
    </w:lvl>
    <w:lvl w:ilvl="6" w:tplc="DC88D3E0" w:tentative="1">
      <w:start w:val="1"/>
      <w:numFmt w:val="decimal"/>
      <w:lvlText w:val="%7."/>
      <w:lvlJc w:val="left"/>
      <w:pPr>
        <w:ind w:left="5040" w:hanging="360"/>
      </w:pPr>
    </w:lvl>
    <w:lvl w:ilvl="7" w:tplc="B0786032" w:tentative="1">
      <w:start w:val="1"/>
      <w:numFmt w:val="lowerLetter"/>
      <w:lvlText w:val="%8."/>
      <w:lvlJc w:val="left"/>
      <w:pPr>
        <w:ind w:left="5760" w:hanging="360"/>
      </w:pPr>
    </w:lvl>
    <w:lvl w:ilvl="8" w:tplc="F230D112" w:tentative="1">
      <w:start w:val="1"/>
      <w:numFmt w:val="lowerRoman"/>
      <w:lvlText w:val="%9."/>
      <w:lvlJc w:val="right"/>
      <w:pPr>
        <w:ind w:left="6480" w:hanging="180"/>
      </w:pPr>
    </w:lvl>
  </w:abstractNum>
  <w:abstractNum w:abstractNumId="15" w15:restartNumberingAfterBreak="0">
    <w:nsid w:val="2948792B"/>
    <w:multiLevelType w:val="hybridMultilevel"/>
    <w:tmpl w:val="DA3A872C"/>
    <w:lvl w:ilvl="0" w:tplc="74208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524063"/>
    <w:multiLevelType w:val="hybridMultilevel"/>
    <w:tmpl w:val="8CD8AADE"/>
    <w:name w:val="HeadingStyles||Heading|3|3|0|1|0|33||1|0|32||1|0|32||1|0|32||1|0|35||1|0|33||1|0|32||1|0|32||1|0|32||"/>
    <w:lvl w:ilvl="0" w:tplc="AB14D078">
      <w:start w:val="1"/>
      <w:numFmt w:val="lowerRoman"/>
      <w:lvlText w:val="(%1)"/>
      <w:lvlJc w:val="left"/>
      <w:pPr>
        <w:ind w:left="1080" w:hanging="720"/>
      </w:pPr>
      <w:rPr>
        <w:rFonts w:hint="default"/>
      </w:rPr>
    </w:lvl>
    <w:lvl w:ilvl="1" w:tplc="22DEF0D8" w:tentative="1">
      <w:start w:val="1"/>
      <w:numFmt w:val="lowerLetter"/>
      <w:lvlText w:val="%2."/>
      <w:lvlJc w:val="left"/>
      <w:pPr>
        <w:ind w:left="1440" w:hanging="360"/>
      </w:pPr>
    </w:lvl>
    <w:lvl w:ilvl="2" w:tplc="3B9056B6" w:tentative="1">
      <w:start w:val="1"/>
      <w:numFmt w:val="lowerRoman"/>
      <w:lvlText w:val="%3."/>
      <w:lvlJc w:val="right"/>
      <w:pPr>
        <w:ind w:left="2160" w:hanging="180"/>
      </w:pPr>
    </w:lvl>
    <w:lvl w:ilvl="3" w:tplc="E5E42388" w:tentative="1">
      <w:start w:val="1"/>
      <w:numFmt w:val="decimal"/>
      <w:lvlText w:val="%4."/>
      <w:lvlJc w:val="left"/>
      <w:pPr>
        <w:ind w:left="2880" w:hanging="360"/>
      </w:pPr>
    </w:lvl>
    <w:lvl w:ilvl="4" w:tplc="6D166BAE" w:tentative="1">
      <w:start w:val="1"/>
      <w:numFmt w:val="lowerLetter"/>
      <w:lvlText w:val="%5."/>
      <w:lvlJc w:val="left"/>
      <w:pPr>
        <w:ind w:left="3600" w:hanging="360"/>
      </w:pPr>
    </w:lvl>
    <w:lvl w:ilvl="5" w:tplc="88886D56" w:tentative="1">
      <w:start w:val="1"/>
      <w:numFmt w:val="lowerRoman"/>
      <w:lvlText w:val="%6."/>
      <w:lvlJc w:val="right"/>
      <w:pPr>
        <w:ind w:left="4320" w:hanging="180"/>
      </w:pPr>
    </w:lvl>
    <w:lvl w:ilvl="6" w:tplc="DB4C774C" w:tentative="1">
      <w:start w:val="1"/>
      <w:numFmt w:val="decimal"/>
      <w:lvlText w:val="%7."/>
      <w:lvlJc w:val="left"/>
      <w:pPr>
        <w:ind w:left="5040" w:hanging="360"/>
      </w:pPr>
    </w:lvl>
    <w:lvl w:ilvl="7" w:tplc="08B0BA0C" w:tentative="1">
      <w:start w:val="1"/>
      <w:numFmt w:val="lowerLetter"/>
      <w:lvlText w:val="%8."/>
      <w:lvlJc w:val="left"/>
      <w:pPr>
        <w:ind w:left="5760" w:hanging="360"/>
      </w:pPr>
    </w:lvl>
    <w:lvl w:ilvl="8" w:tplc="F1BEC3DC" w:tentative="1">
      <w:start w:val="1"/>
      <w:numFmt w:val="lowerRoman"/>
      <w:lvlText w:val="%9."/>
      <w:lvlJc w:val="right"/>
      <w:pPr>
        <w:ind w:left="6480" w:hanging="180"/>
      </w:pPr>
    </w:lvl>
  </w:abstractNum>
  <w:abstractNum w:abstractNumId="17" w15:restartNumberingAfterBreak="0">
    <w:nsid w:val="2BEE1322"/>
    <w:multiLevelType w:val="multilevel"/>
    <w:tmpl w:val="B81C7F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D7061EB"/>
    <w:multiLevelType w:val="hybridMultilevel"/>
    <w:tmpl w:val="881E6F58"/>
    <w:lvl w:ilvl="0" w:tplc="372CE8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EEC4ABB"/>
    <w:multiLevelType w:val="hybridMultilevel"/>
    <w:tmpl w:val="ACEA324E"/>
    <w:lvl w:ilvl="0" w:tplc="6BB2F8E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0F7F7F"/>
    <w:multiLevelType w:val="hybridMultilevel"/>
    <w:tmpl w:val="E5C2F54A"/>
    <w:lvl w:ilvl="0" w:tplc="05E2ECC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15:restartNumberingAfterBreak="0">
    <w:nsid w:val="32925B0F"/>
    <w:multiLevelType w:val="multilevel"/>
    <w:tmpl w:val="0C90313C"/>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5385EBF"/>
    <w:multiLevelType w:val="hybridMultilevel"/>
    <w:tmpl w:val="DF429F36"/>
    <w:lvl w:ilvl="0" w:tplc="6A1E8810">
      <w:start w:val="1"/>
      <w:numFmt w:val="bullet"/>
      <w:lvlText w:val=""/>
      <w:lvlJc w:val="left"/>
      <w:pPr>
        <w:ind w:left="720" w:hanging="360"/>
      </w:pPr>
      <w:rPr>
        <w:rFonts w:ascii="Symbol" w:hAnsi="Symbol" w:hint="default"/>
      </w:rPr>
    </w:lvl>
    <w:lvl w:ilvl="1" w:tplc="4BDE152E">
      <w:start w:val="1"/>
      <w:numFmt w:val="bullet"/>
      <w:lvlText w:val="o"/>
      <w:lvlJc w:val="left"/>
      <w:pPr>
        <w:ind w:left="1440" w:hanging="360"/>
      </w:pPr>
      <w:rPr>
        <w:rFonts w:ascii="Courier New" w:hAnsi="Courier New" w:cs="Courier New" w:hint="default"/>
      </w:rPr>
    </w:lvl>
    <w:lvl w:ilvl="2" w:tplc="D9AAF766" w:tentative="1">
      <w:start w:val="1"/>
      <w:numFmt w:val="bullet"/>
      <w:lvlText w:val=""/>
      <w:lvlJc w:val="left"/>
      <w:pPr>
        <w:ind w:left="2160" w:hanging="360"/>
      </w:pPr>
      <w:rPr>
        <w:rFonts w:ascii="Wingdings" w:hAnsi="Wingdings" w:hint="default"/>
      </w:rPr>
    </w:lvl>
    <w:lvl w:ilvl="3" w:tplc="877E5724" w:tentative="1">
      <w:start w:val="1"/>
      <w:numFmt w:val="bullet"/>
      <w:lvlText w:val=""/>
      <w:lvlJc w:val="left"/>
      <w:pPr>
        <w:ind w:left="2880" w:hanging="360"/>
      </w:pPr>
      <w:rPr>
        <w:rFonts w:ascii="Symbol" w:hAnsi="Symbol" w:hint="default"/>
      </w:rPr>
    </w:lvl>
    <w:lvl w:ilvl="4" w:tplc="9AA6772E" w:tentative="1">
      <w:start w:val="1"/>
      <w:numFmt w:val="bullet"/>
      <w:lvlText w:val="o"/>
      <w:lvlJc w:val="left"/>
      <w:pPr>
        <w:ind w:left="3600" w:hanging="360"/>
      </w:pPr>
      <w:rPr>
        <w:rFonts w:ascii="Courier New" w:hAnsi="Courier New" w:cs="Courier New" w:hint="default"/>
      </w:rPr>
    </w:lvl>
    <w:lvl w:ilvl="5" w:tplc="C4C07B00" w:tentative="1">
      <w:start w:val="1"/>
      <w:numFmt w:val="bullet"/>
      <w:lvlText w:val=""/>
      <w:lvlJc w:val="left"/>
      <w:pPr>
        <w:ind w:left="4320" w:hanging="360"/>
      </w:pPr>
      <w:rPr>
        <w:rFonts w:ascii="Wingdings" w:hAnsi="Wingdings" w:hint="default"/>
      </w:rPr>
    </w:lvl>
    <w:lvl w:ilvl="6" w:tplc="3E62A5A8" w:tentative="1">
      <w:start w:val="1"/>
      <w:numFmt w:val="bullet"/>
      <w:lvlText w:val=""/>
      <w:lvlJc w:val="left"/>
      <w:pPr>
        <w:ind w:left="5040" w:hanging="360"/>
      </w:pPr>
      <w:rPr>
        <w:rFonts w:ascii="Symbol" w:hAnsi="Symbol" w:hint="default"/>
      </w:rPr>
    </w:lvl>
    <w:lvl w:ilvl="7" w:tplc="8E68B7B2" w:tentative="1">
      <w:start w:val="1"/>
      <w:numFmt w:val="bullet"/>
      <w:lvlText w:val="o"/>
      <w:lvlJc w:val="left"/>
      <w:pPr>
        <w:ind w:left="5760" w:hanging="360"/>
      </w:pPr>
      <w:rPr>
        <w:rFonts w:ascii="Courier New" w:hAnsi="Courier New" w:cs="Courier New" w:hint="default"/>
      </w:rPr>
    </w:lvl>
    <w:lvl w:ilvl="8" w:tplc="C5F83904" w:tentative="1">
      <w:start w:val="1"/>
      <w:numFmt w:val="bullet"/>
      <w:lvlText w:val=""/>
      <w:lvlJc w:val="left"/>
      <w:pPr>
        <w:ind w:left="6480" w:hanging="360"/>
      </w:pPr>
      <w:rPr>
        <w:rFonts w:ascii="Wingdings" w:hAnsi="Wingdings" w:hint="default"/>
      </w:rPr>
    </w:lvl>
  </w:abstractNum>
  <w:abstractNum w:abstractNumId="23" w15:restartNumberingAfterBreak="0">
    <w:nsid w:val="36935F7A"/>
    <w:multiLevelType w:val="hybridMultilevel"/>
    <w:tmpl w:val="254C623C"/>
    <w:lvl w:ilvl="0" w:tplc="816C84E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15:restartNumberingAfterBreak="0">
    <w:nsid w:val="369D757A"/>
    <w:multiLevelType w:val="hybridMultilevel"/>
    <w:tmpl w:val="66FAEA64"/>
    <w:lvl w:ilvl="0" w:tplc="04090001">
      <w:start w:val="1"/>
      <w:numFmt w:val="lowerRoman"/>
      <w:lvlText w:val="(%1)"/>
      <w:lvlJc w:val="left"/>
      <w:pPr>
        <w:ind w:left="1440" w:hanging="72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5" w15:restartNumberingAfterBreak="0">
    <w:nsid w:val="38723F4C"/>
    <w:multiLevelType w:val="hybridMultilevel"/>
    <w:tmpl w:val="2056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F052EE"/>
    <w:multiLevelType w:val="hybridMultilevel"/>
    <w:tmpl w:val="6308AD8E"/>
    <w:lvl w:ilvl="0" w:tplc="04090001">
      <w:start w:val="1"/>
      <w:numFmt w:val="lowerRoman"/>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 w15:restartNumberingAfterBreak="0">
    <w:nsid w:val="42E4588E"/>
    <w:multiLevelType w:val="hybridMultilevel"/>
    <w:tmpl w:val="1018A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47803B7"/>
    <w:multiLevelType w:val="hybridMultilevel"/>
    <w:tmpl w:val="1F02016A"/>
    <w:lvl w:ilvl="0" w:tplc="7C86B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BB0AAB"/>
    <w:multiLevelType w:val="hybridMultilevel"/>
    <w:tmpl w:val="84786F3A"/>
    <w:lvl w:ilvl="0" w:tplc="CF265A60">
      <w:start w:val="1"/>
      <w:numFmt w:val="bullet"/>
      <w:lvlText w:val="-"/>
      <w:lvlJc w:val="left"/>
      <w:pPr>
        <w:ind w:left="405" w:hanging="360"/>
      </w:pPr>
      <w:rPr>
        <w:rFonts w:ascii="Times New Roman" w:eastAsiaTheme="minorHAns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0" w15:restartNumberingAfterBreak="0">
    <w:nsid w:val="463D4BB6"/>
    <w:multiLevelType w:val="hybridMultilevel"/>
    <w:tmpl w:val="66FAEA64"/>
    <w:lvl w:ilvl="0" w:tplc="04090001">
      <w:start w:val="1"/>
      <w:numFmt w:val="lowerRoman"/>
      <w:lvlText w:val="(%1)"/>
      <w:lvlJc w:val="left"/>
      <w:pPr>
        <w:ind w:left="1440" w:hanging="72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1" w15:restartNumberingAfterBreak="0">
    <w:nsid w:val="468D5BD6"/>
    <w:multiLevelType w:val="hybridMultilevel"/>
    <w:tmpl w:val="66FAEA64"/>
    <w:lvl w:ilvl="0" w:tplc="04090001">
      <w:start w:val="1"/>
      <w:numFmt w:val="lowerRoman"/>
      <w:lvlText w:val="(%1)"/>
      <w:lvlJc w:val="left"/>
      <w:pPr>
        <w:ind w:left="1440" w:hanging="72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2" w15:restartNumberingAfterBreak="0">
    <w:nsid w:val="48D711FA"/>
    <w:multiLevelType w:val="hybridMultilevel"/>
    <w:tmpl w:val="063EF1DA"/>
    <w:lvl w:ilvl="0" w:tplc="D2020E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7B19D1"/>
    <w:multiLevelType w:val="multilevel"/>
    <w:tmpl w:val="AD623D38"/>
    <w:name w:val="Article_1"/>
    <w:lvl w:ilvl="0">
      <w:start w:val="1"/>
      <w:numFmt w:val="decimal"/>
      <w:pStyle w:val="ArticleL1"/>
      <w:suff w:val="nothing"/>
      <w:lvlText w:val="ARTICLE %1"/>
      <w:lvlJc w:val="left"/>
      <w:pPr>
        <w:ind w:left="0" w:firstLine="0"/>
      </w:pPr>
      <w:rPr>
        <w:rFonts w:hint="default"/>
        <w:b/>
        <w:i w:val="0"/>
        <w:caps/>
        <w:smallCaps w:val="0"/>
        <w:u w:val="none"/>
      </w:rPr>
    </w:lvl>
    <w:lvl w:ilvl="1">
      <w:start w:val="1"/>
      <w:numFmt w:val="decimal"/>
      <w:pStyle w:val="ArticleL2"/>
      <w:isLgl/>
      <w:lvlText w:val="%1.%2"/>
      <w:lvlJc w:val="left"/>
      <w:pPr>
        <w:tabs>
          <w:tab w:val="num" w:pos="1440"/>
        </w:tabs>
        <w:ind w:left="0" w:firstLine="720"/>
      </w:pPr>
      <w:rPr>
        <w:rFonts w:hint="default"/>
        <w:b w:val="0"/>
        <w:i w:val="0"/>
        <w:caps w:val="0"/>
        <w:smallCaps w:val="0"/>
        <w:u w:val="none"/>
      </w:rPr>
    </w:lvl>
    <w:lvl w:ilvl="2">
      <w:start w:val="1"/>
      <w:numFmt w:val="lowerLetter"/>
      <w:pStyle w:val="ArticleL3"/>
      <w:lvlText w:val="(%3)"/>
      <w:lvlJc w:val="left"/>
      <w:pPr>
        <w:tabs>
          <w:tab w:val="num" w:pos="2160"/>
        </w:tabs>
        <w:ind w:left="0" w:firstLine="1440"/>
      </w:pPr>
      <w:rPr>
        <w:rFonts w:hint="default"/>
        <w:b w:val="0"/>
        <w:i w:val="0"/>
        <w:caps w:val="0"/>
        <w:smallCaps w:val="0"/>
        <w:u w:val="none"/>
      </w:rPr>
    </w:lvl>
    <w:lvl w:ilvl="3">
      <w:start w:val="1"/>
      <w:numFmt w:val="lowerRoman"/>
      <w:pStyle w:val="ArticleL4"/>
      <w:lvlText w:val="(%4)"/>
      <w:lvlJc w:val="left"/>
      <w:pPr>
        <w:tabs>
          <w:tab w:val="num" w:pos="2880"/>
        </w:tabs>
        <w:ind w:left="0" w:firstLine="2160"/>
      </w:pPr>
      <w:rPr>
        <w:rFonts w:hint="default"/>
        <w:b w:val="0"/>
        <w:i w:val="0"/>
        <w:caps w:val="0"/>
        <w:smallCaps w:val="0"/>
        <w:u w:val="none"/>
      </w:rPr>
    </w:lvl>
    <w:lvl w:ilvl="4">
      <w:start w:val="1"/>
      <w:numFmt w:val="upperLetter"/>
      <w:pStyle w:val="ArticleL5"/>
      <w:lvlText w:val="(%5)"/>
      <w:lvlJc w:val="left"/>
      <w:pPr>
        <w:tabs>
          <w:tab w:val="num" w:pos="3600"/>
        </w:tabs>
        <w:ind w:left="720" w:firstLine="2160"/>
      </w:pPr>
      <w:rPr>
        <w:rFonts w:hint="default"/>
        <w:b w:val="0"/>
        <w:i w:val="0"/>
        <w:caps w:val="0"/>
        <w:smallCaps w:val="0"/>
        <w:u w:val="none"/>
      </w:rPr>
    </w:lvl>
    <w:lvl w:ilvl="5">
      <w:start w:val="1"/>
      <w:numFmt w:val="decimal"/>
      <w:pStyle w:val="ArticleL6"/>
      <w:lvlText w:val="(%6)"/>
      <w:lvlJc w:val="left"/>
      <w:pPr>
        <w:tabs>
          <w:tab w:val="num" w:pos="4320"/>
        </w:tabs>
        <w:ind w:left="0" w:firstLine="3600"/>
      </w:pPr>
      <w:rPr>
        <w:rFonts w:hint="default"/>
        <w:b w:val="0"/>
        <w:i w:val="0"/>
        <w:caps w:val="0"/>
        <w:smallCaps w:val="0"/>
        <w:u w:val="none"/>
      </w:rPr>
    </w:lvl>
    <w:lvl w:ilvl="6">
      <w:start w:val="1"/>
      <w:numFmt w:val="lowerLetter"/>
      <w:pStyle w:val="ArticleL7"/>
      <w:lvlText w:val="%7."/>
      <w:lvlJc w:val="left"/>
      <w:pPr>
        <w:tabs>
          <w:tab w:val="num" w:pos="5040"/>
        </w:tabs>
        <w:ind w:left="0" w:firstLine="4320"/>
      </w:pPr>
      <w:rPr>
        <w:rFonts w:hint="default"/>
        <w:b w:val="0"/>
        <w:i w:val="0"/>
        <w:caps w:val="0"/>
        <w:smallCaps w:val="0"/>
        <w:u w:val="none"/>
      </w:rPr>
    </w:lvl>
    <w:lvl w:ilvl="7">
      <w:start w:val="1"/>
      <w:numFmt w:val="lowerRoman"/>
      <w:pStyle w:val="ArticleL8"/>
      <w:lvlText w:val="%8."/>
      <w:lvlJc w:val="left"/>
      <w:pPr>
        <w:tabs>
          <w:tab w:val="num" w:pos="5760"/>
        </w:tabs>
        <w:ind w:left="0" w:firstLine="5040"/>
      </w:pPr>
      <w:rPr>
        <w:rFonts w:hint="default"/>
        <w:b w:val="0"/>
        <w:i w:val="0"/>
        <w:caps w:val="0"/>
        <w:smallCaps w:val="0"/>
        <w:u w:val="none"/>
      </w:rPr>
    </w:lvl>
    <w:lvl w:ilvl="8">
      <w:start w:val="1"/>
      <w:numFmt w:val="decimal"/>
      <w:pStyle w:val="ArticleL9"/>
      <w:lvlText w:val="%9."/>
      <w:lvlJc w:val="left"/>
      <w:pPr>
        <w:tabs>
          <w:tab w:val="num" w:pos="6480"/>
        </w:tabs>
        <w:ind w:left="0" w:firstLine="5760"/>
      </w:pPr>
      <w:rPr>
        <w:rFonts w:hint="default"/>
        <w:b w:val="0"/>
        <w:i w:val="0"/>
        <w:caps w:val="0"/>
        <w:smallCaps w:val="0"/>
        <w:u w:val="none"/>
      </w:rPr>
    </w:lvl>
  </w:abstractNum>
  <w:abstractNum w:abstractNumId="34" w15:restartNumberingAfterBreak="0">
    <w:nsid w:val="54A46988"/>
    <w:multiLevelType w:val="hybridMultilevel"/>
    <w:tmpl w:val="BF607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7F1A6C"/>
    <w:multiLevelType w:val="multilevel"/>
    <w:tmpl w:val="157A53D0"/>
    <w:name w:val="Heading"/>
    <w:lvl w:ilvl="0">
      <w:start w:val="1"/>
      <w:numFmt w:val="cardinalText"/>
      <w:pStyle w:val="Heading1"/>
      <w:suff w:val="nothing"/>
      <w:lvlText w:val="ARTICLE %1:     "/>
      <w:lvlJc w:val="left"/>
      <w:pPr>
        <w:ind w:left="0" w:firstLine="0"/>
      </w:pPr>
      <w:rPr>
        <w:rFonts w:ascii="Arial" w:hAnsi="Arial" w:cs="Arial" w:hint="default"/>
        <w:b/>
        <w:i w:val="0"/>
        <w:caps/>
        <w:sz w:val="22"/>
        <w:szCs w:val="22"/>
      </w:rPr>
    </w:lvl>
    <w:lvl w:ilvl="1">
      <w:start w:val="1"/>
      <w:numFmt w:val="decimal"/>
      <w:pStyle w:val="Heading2"/>
      <w:isLgl/>
      <w:lvlText w:val="%1.%2"/>
      <w:lvlJc w:val="left"/>
      <w:pPr>
        <w:tabs>
          <w:tab w:val="num" w:pos="1080"/>
        </w:tabs>
        <w:ind w:left="0" w:firstLine="720"/>
      </w:pPr>
      <w:rPr>
        <w:rFonts w:ascii="Arial" w:hAnsi="Arial" w:hint="default"/>
        <w:b w:val="0"/>
        <w:i w:val="0"/>
        <w:sz w:val="22"/>
        <w:u w:val="none"/>
      </w:rPr>
    </w:lvl>
    <w:lvl w:ilvl="2">
      <w:start w:val="1"/>
      <w:numFmt w:val="lowerLetter"/>
      <w:pStyle w:val="Heading3"/>
      <w:lvlText w:val="(%3)"/>
      <w:lvlJc w:val="left"/>
      <w:pPr>
        <w:tabs>
          <w:tab w:val="num" w:pos="2160"/>
        </w:tabs>
        <w:ind w:left="2160" w:hanging="720"/>
      </w:pPr>
      <w:rPr>
        <w:rFonts w:ascii="Arial" w:hAnsi="Arial" w:hint="default"/>
        <w:b w:val="0"/>
        <w:i w:val="0"/>
        <w:sz w:val="22"/>
      </w:rPr>
    </w:lvl>
    <w:lvl w:ilvl="3">
      <w:start w:val="1"/>
      <w:numFmt w:val="lowerRoman"/>
      <w:pStyle w:val="Heading4"/>
      <w:lvlText w:val="(%4)"/>
      <w:lvlJc w:val="left"/>
      <w:pPr>
        <w:tabs>
          <w:tab w:val="num" w:pos="2880"/>
        </w:tabs>
        <w:ind w:left="2880" w:hanging="720"/>
      </w:pPr>
      <w:rPr>
        <w:rFonts w:ascii="Times New Roman" w:hAnsi="Times New Roman" w:hint="default"/>
        <w:b w:val="0"/>
        <w:i w:val="0"/>
        <w:sz w:val="24"/>
      </w:rPr>
    </w:lvl>
    <w:lvl w:ilvl="4">
      <w:start w:val="1"/>
      <w:numFmt w:val="lowerRoman"/>
      <w:pStyle w:val="Heading5"/>
      <w:lvlText w:val="(%5)"/>
      <w:lvlJc w:val="left"/>
      <w:pPr>
        <w:tabs>
          <w:tab w:val="num" w:pos="2160"/>
        </w:tabs>
        <w:ind w:left="2160" w:hanging="720"/>
      </w:pPr>
      <w:rPr>
        <w:rFonts w:ascii="Times New Roman" w:hAnsi="Times New Roman" w:hint="default"/>
        <w:b w:val="0"/>
        <w:i w:val="0"/>
        <w:sz w:val="24"/>
      </w:rPr>
    </w:lvl>
    <w:lvl w:ilvl="5">
      <w:start w:val="1"/>
      <w:numFmt w:val="upperRoman"/>
      <w:pStyle w:val="Heading6"/>
      <w:suff w:val="space"/>
      <w:lvlText w:val="%6."/>
      <w:lvlJc w:val="left"/>
      <w:pPr>
        <w:ind w:left="2736" w:hanging="936"/>
      </w:pPr>
      <w:rPr>
        <w:rFonts w:ascii="Times New Roman" w:hAnsi="Times New Roman" w:hint="default"/>
        <w:b/>
        <w:i w:val="0"/>
        <w:sz w:val="24"/>
        <w:u w:val="none"/>
      </w:rPr>
    </w:lvl>
    <w:lvl w:ilvl="6">
      <w:start w:val="1"/>
      <w:numFmt w:val="decimal"/>
      <w:pStyle w:val="Heading7"/>
      <w:isLgl/>
      <w:lvlText w:val="%7.01."/>
      <w:lvlJc w:val="left"/>
      <w:pPr>
        <w:tabs>
          <w:tab w:val="num" w:pos="2160"/>
        </w:tabs>
        <w:ind w:left="0" w:firstLine="1440"/>
      </w:pPr>
      <w:rPr>
        <w:rFonts w:hint="default"/>
      </w:rPr>
    </w:lvl>
    <w:lvl w:ilvl="7">
      <w:start w:val="1"/>
      <w:numFmt w:val="decimal"/>
      <w:pStyle w:val="Heading8"/>
      <w:lvlText w:val="%1.%2.%3.%4.%5.%6.%7.%8."/>
      <w:lvlJc w:val="left"/>
      <w:pPr>
        <w:tabs>
          <w:tab w:val="num" w:pos="4320"/>
        </w:tabs>
        <w:ind w:left="3744" w:hanging="1224"/>
      </w:pPr>
      <w:rPr>
        <w:rFonts w:hint="default"/>
      </w:rPr>
    </w:lvl>
    <w:lvl w:ilvl="8">
      <w:start w:val="1"/>
      <w:numFmt w:val="decimal"/>
      <w:pStyle w:val="Heading9"/>
      <w:lvlText w:val="%1.%2.%3.%4.%5.%6.%7.%8.%9."/>
      <w:lvlJc w:val="left"/>
      <w:pPr>
        <w:tabs>
          <w:tab w:val="num" w:pos="5040"/>
        </w:tabs>
        <w:ind w:left="4320" w:hanging="1440"/>
      </w:pPr>
      <w:rPr>
        <w:rFonts w:hint="default"/>
      </w:rPr>
    </w:lvl>
  </w:abstractNum>
  <w:abstractNum w:abstractNumId="36" w15:restartNumberingAfterBreak="0">
    <w:nsid w:val="5A570BF9"/>
    <w:multiLevelType w:val="hybridMultilevel"/>
    <w:tmpl w:val="20E67520"/>
    <w:name w:val="Article"/>
    <w:lvl w:ilvl="0" w:tplc="DC067F04">
      <w:start w:val="1"/>
      <w:numFmt w:val="decimal"/>
      <w:lvlText w:val="(%1)"/>
      <w:lvlJc w:val="left"/>
      <w:pPr>
        <w:ind w:left="720" w:hanging="360"/>
      </w:pPr>
      <w:rPr>
        <w:rFonts w:hint="default"/>
      </w:rPr>
    </w:lvl>
    <w:lvl w:ilvl="1" w:tplc="30CA3160" w:tentative="1">
      <w:start w:val="1"/>
      <w:numFmt w:val="lowerLetter"/>
      <w:lvlText w:val="%2."/>
      <w:lvlJc w:val="left"/>
      <w:pPr>
        <w:ind w:left="1440" w:hanging="360"/>
      </w:pPr>
    </w:lvl>
    <w:lvl w:ilvl="2" w:tplc="7A12636E" w:tentative="1">
      <w:start w:val="1"/>
      <w:numFmt w:val="lowerRoman"/>
      <w:lvlText w:val="%3."/>
      <w:lvlJc w:val="right"/>
      <w:pPr>
        <w:ind w:left="2160" w:hanging="180"/>
      </w:pPr>
    </w:lvl>
    <w:lvl w:ilvl="3" w:tplc="DDA209BE" w:tentative="1">
      <w:start w:val="1"/>
      <w:numFmt w:val="decimal"/>
      <w:lvlText w:val="%4."/>
      <w:lvlJc w:val="left"/>
      <w:pPr>
        <w:ind w:left="2880" w:hanging="360"/>
      </w:pPr>
    </w:lvl>
    <w:lvl w:ilvl="4" w:tplc="3684B1CE" w:tentative="1">
      <w:start w:val="1"/>
      <w:numFmt w:val="lowerLetter"/>
      <w:lvlText w:val="%5."/>
      <w:lvlJc w:val="left"/>
      <w:pPr>
        <w:ind w:left="3600" w:hanging="360"/>
      </w:pPr>
    </w:lvl>
    <w:lvl w:ilvl="5" w:tplc="B77E10DC" w:tentative="1">
      <w:start w:val="1"/>
      <w:numFmt w:val="lowerRoman"/>
      <w:lvlText w:val="%6."/>
      <w:lvlJc w:val="right"/>
      <w:pPr>
        <w:ind w:left="4320" w:hanging="180"/>
      </w:pPr>
    </w:lvl>
    <w:lvl w:ilvl="6" w:tplc="30326DD0" w:tentative="1">
      <w:start w:val="1"/>
      <w:numFmt w:val="decimal"/>
      <w:lvlText w:val="%7."/>
      <w:lvlJc w:val="left"/>
      <w:pPr>
        <w:ind w:left="5040" w:hanging="360"/>
      </w:pPr>
    </w:lvl>
    <w:lvl w:ilvl="7" w:tplc="29F4DDEA" w:tentative="1">
      <w:start w:val="1"/>
      <w:numFmt w:val="lowerLetter"/>
      <w:lvlText w:val="%8."/>
      <w:lvlJc w:val="left"/>
      <w:pPr>
        <w:ind w:left="5760" w:hanging="360"/>
      </w:pPr>
    </w:lvl>
    <w:lvl w:ilvl="8" w:tplc="1902C344" w:tentative="1">
      <w:start w:val="1"/>
      <w:numFmt w:val="lowerRoman"/>
      <w:lvlText w:val="%9."/>
      <w:lvlJc w:val="right"/>
      <w:pPr>
        <w:ind w:left="6480" w:hanging="180"/>
      </w:pPr>
    </w:lvl>
  </w:abstractNum>
  <w:abstractNum w:abstractNumId="37" w15:restartNumberingAfterBreak="0">
    <w:nsid w:val="5D775EB9"/>
    <w:multiLevelType w:val="hybridMultilevel"/>
    <w:tmpl w:val="75885F1E"/>
    <w:lvl w:ilvl="0" w:tplc="D49E53E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8" w15:restartNumberingAfterBreak="0">
    <w:nsid w:val="5DCE6AAC"/>
    <w:multiLevelType w:val="hybridMultilevel"/>
    <w:tmpl w:val="2C04DB42"/>
    <w:lvl w:ilvl="0" w:tplc="F39095AA">
      <w:start w:val="1"/>
      <w:numFmt w:val="bullet"/>
      <w:lvlText w:val=""/>
      <w:lvlJc w:val="left"/>
      <w:pPr>
        <w:ind w:left="720" w:hanging="360"/>
      </w:pPr>
      <w:rPr>
        <w:rFonts w:ascii="Symbol" w:hAnsi="Symbol" w:hint="default"/>
      </w:rPr>
    </w:lvl>
    <w:lvl w:ilvl="1" w:tplc="48427430" w:tentative="1">
      <w:start w:val="1"/>
      <w:numFmt w:val="bullet"/>
      <w:lvlText w:val="o"/>
      <w:lvlJc w:val="left"/>
      <w:pPr>
        <w:ind w:left="1440" w:hanging="360"/>
      </w:pPr>
      <w:rPr>
        <w:rFonts w:ascii="Courier New" w:hAnsi="Courier New" w:cs="Courier New" w:hint="default"/>
      </w:rPr>
    </w:lvl>
    <w:lvl w:ilvl="2" w:tplc="B980F358" w:tentative="1">
      <w:start w:val="1"/>
      <w:numFmt w:val="bullet"/>
      <w:lvlText w:val=""/>
      <w:lvlJc w:val="left"/>
      <w:pPr>
        <w:ind w:left="2160" w:hanging="360"/>
      </w:pPr>
      <w:rPr>
        <w:rFonts w:ascii="Wingdings" w:hAnsi="Wingdings" w:hint="default"/>
      </w:rPr>
    </w:lvl>
    <w:lvl w:ilvl="3" w:tplc="38324D78" w:tentative="1">
      <w:start w:val="1"/>
      <w:numFmt w:val="bullet"/>
      <w:lvlText w:val=""/>
      <w:lvlJc w:val="left"/>
      <w:pPr>
        <w:ind w:left="2880" w:hanging="360"/>
      </w:pPr>
      <w:rPr>
        <w:rFonts w:ascii="Symbol" w:hAnsi="Symbol" w:hint="default"/>
      </w:rPr>
    </w:lvl>
    <w:lvl w:ilvl="4" w:tplc="5A64282A" w:tentative="1">
      <w:start w:val="1"/>
      <w:numFmt w:val="bullet"/>
      <w:lvlText w:val="o"/>
      <w:lvlJc w:val="left"/>
      <w:pPr>
        <w:ind w:left="3600" w:hanging="360"/>
      </w:pPr>
      <w:rPr>
        <w:rFonts w:ascii="Courier New" w:hAnsi="Courier New" w:cs="Courier New" w:hint="default"/>
      </w:rPr>
    </w:lvl>
    <w:lvl w:ilvl="5" w:tplc="570CD5E8" w:tentative="1">
      <w:start w:val="1"/>
      <w:numFmt w:val="bullet"/>
      <w:lvlText w:val=""/>
      <w:lvlJc w:val="left"/>
      <w:pPr>
        <w:ind w:left="4320" w:hanging="360"/>
      </w:pPr>
      <w:rPr>
        <w:rFonts w:ascii="Wingdings" w:hAnsi="Wingdings" w:hint="default"/>
      </w:rPr>
    </w:lvl>
    <w:lvl w:ilvl="6" w:tplc="A2029322" w:tentative="1">
      <w:start w:val="1"/>
      <w:numFmt w:val="bullet"/>
      <w:lvlText w:val=""/>
      <w:lvlJc w:val="left"/>
      <w:pPr>
        <w:ind w:left="5040" w:hanging="360"/>
      </w:pPr>
      <w:rPr>
        <w:rFonts w:ascii="Symbol" w:hAnsi="Symbol" w:hint="default"/>
      </w:rPr>
    </w:lvl>
    <w:lvl w:ilvl="7" w:tplc="03A2DDA6" w:tentative="1">
      <w:start w:val="1"/>
      <w:numFmt w:val="bullet"/>
      <w:lvlText w:val="o"/>
      <w:lvlJc w:val="left"/>
      <w:pPr>
        <w:ind w:left="5760" w:hanging="360"/>
      </w:pPr>
      <w:rPr>
        <w:rFonts w:ascii="Courier New" w:hAnsi="Courier New" w:cs="Courier New" w:hint="default"/>
      </w:rPr>
    </w:lvl>
    <w:lvl w:ilvl="8" w:tplc="AF9096A0" w:tentative="1">
      <w:start w:val="1"/>
      <w:numFmt w:val="bullet"/>
      <w:lvlText w:val=""/>
      <w:lvlJc w:val="left"/>
      <w:pPr>
        <w:ind w:left="6480" w:hanging="360"/>
      </w:pPr>
      <w:rPr>
        <w:rFonts w:ascii="Wingdings" w:hAnsi="Wingdings" w:hint="default"/>
      </w:rPr>
    </w:lvl>
  </w:abstractNum>
  <w:abstractNum w:abstractNumId="39" w15:restartNumberingAfterBreak="0">
    <w:nsid w:val="5E553681"/>
    <w:multiLevelType w:val="hybridMultilevel"/>
    <w:tmpl w:val="68CCF342"/>
    <w:lvl w:ilvl="0" w:tplc="82D47CC6">
      <w:start w:val="1"/>
      <w:numFmt w:val="bullet"/>
      <w:lvlText w:val=""/>
      <w:lvlJc w:val="left"/>
      <w:pPr>
        <w:ind w:left="780" w:hanging="360"/>
      </w:pPr>
      <w:rPr>
        <w:rFonts w:ascii="Symbol" w:hAnsi="Symbol" w:hint="default"/>
      </w:rPr>
    </w:lvl>
    <w:lvl w:ilvl="1" w:tplc="04090019" w:tentative="1">
      <w:start w:val="1"/>
      <w:numFmt w:val="bullet"/>
      <w:lvlText w:val="o"/>
      <w:lvlJc w:val="left"/>
      <w:pPr>
        <w:ind w:left="1500" w:hanging="360"/>
      </w:pPr>
      <w:rPr>
        <w:rFonts w:ascii="Courier New" w:hAnsi="Courier New" w:cs="Courier New" w:hint="default"/>
      </w:rPr>
    </w:lvl>
    <w:lvl w:ilvl="2" w:tplc="0409001B" w:tentative="1">
      <w:start w:val="1"/>
      <w:numFmt w:val="bullet"/>
      <w:lvlText w:val=""/>
      <w:lvlJc w:val="left"/>
      <w:pPr>
        <w:ind w:left="2220" w:hanging="360"/>
      </w:pPr>
      <w:rPr>
        <w:rFonts w:ascii="Wingdings" w:hAnsi="Wingdings" w:hint="default"/>
      </w:rPr>
    </w:lvl>
    <w:lvl w:ilvl="3" w:tplc="0409000F" w:tentative="1">
      <w:start w:val="1"/>
      <w:numFmt w:val="bullet"/>
      <w:lvlText w:val=""/>
      <w:lvlJc w:val="left"/>
      <w:pPr>
        <w:ind w:left="2940" w:hanging="360"/>
      </w:pPr>
      <w:rPr>
        <w:rFonts w:ascii="Symbol" w:hAnsi="Symbol" w:hint="default"/>
      </w:rPr>
    </w:lvl>
    <w:lvl w:ilvl="4" w:tplc="04090019" w:tentative="1">
      <w:start w:val="1"/>
      <w:numFmt w:val="bullet"/>
      <w:lvlText w:val="o"/>
      <w:lvlJc w:val="left"/>
      <w:pPr>
        <w:ind w:left="3660" w:hanging="360"/>
      </w:pPr>
      <w:rPr>
        <w:rFonts w:ascii="Courier New" w:hAnsi="Courier New" w:cs="Courier New" w:hint="default"/>
      </w:rPr>
    </w:lvl>
    <w:lvl w:ilvl="5" w:tplc="0409001B" w:tentative="1">
      <w:start w:val="1"/>
      <w:numFmt w:val="bullet"/>
      <w:lvlText w:val=""/>
      <w:lvlJc w:val="left"/>
      <w:pPr>
        <w:ind w:left="4380" w:hanging="360"/>
      </w:pPr>
      <w:rPr>
        <w:rFonts w:ascii="Wingdings" w:hAnsi="Wingdings" w:hint="default"/>
      </w:rPr>
    </w:lvl>
    <w:lvl w:ilvl="6" w:tplc="0409000F" w:tentative="1">
      <w:start w:val="1"/>
      <w:numFmt w:val="bullet"/>
      <w:lvlText w:val=""/>
      <w:lvlJc w:val="left"/>
      <w:pPr>
        <w:ind w:left="5100" w:hanging="360"/>
      </w:pPr>
      <w:rPr>
        <w:rFonts w:ascii="Symbol" w:hAnsi="Symbol" w:hint="default"/>
      </w:rPr>
    </w:lvl>
    <w:lvl w:ilvl="7" w:tplc="04090019" w:tentative="1">
      <w:start w:val="1"/>
      <w:numFmt w:val="bullet"/>
      <w:lvlText w:val="o"/>
      <w:lvlJc w:val="left"/>
      <w:pPr>
        <w:ind w:left="5820" w:hanging="360"/>
      </w:pPr>
      <w:rPr>
        <w:rFonts w:ascii="Courier New" w:hAnsi="Courier New" w:cs="Courier New" w:hint="default"/>
      </w:rPr>
    </w:lvl>
    <w:lvl w:ilvl="8" w:tplc="0409001B" w:tentative="1">
      <w:start w:val="1"/>
      <w:numFmt w:val="bullet"/>
      <w:lvlText w:val=""/>
      <w:lvlJc w:val="left"/>
      <w:pPr>
        <w:ind w:left="6540" w:hanging="360"/>
      </w:pPr>
      <w:rPr>
        <w:rFonts w:ascii="Wingdings" w:hAnsi="Wingdings" w:hint="default"/>
      </w:rPr>
    </w:lvl>
  </w:abstractNum>
  <w:abstractNum w:abstractNumId="40" w15:restartNumberingAfterBreak="0">
    <w:nsid w:val="62047478"/>
    <w:multiLevelType w:val="hybridMultilevel"/>
    <w:tmpl w:val="910AA2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2703804"/>
    <w:multiLevelType w:val="multilevel"/>
    <w:tmpl w:val="42DE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49504F7"/>
    <w:multiLevelType w:val="hybridMultilevel"/>
    <w:tmpl w:val="7B700DAE"/>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3" w15:restartNumberingAfterBreak="0">
    <w:nsid w:val="654C6382"/>
    <w:multiLevelType w:val="hybridMultilevel"/>
    <w:tmpl w:val="8CD8AADE"/>
    <w:lvl w:ilvl="0" w:tplc="04090001">
      <w:start w:val="1"/>
      <w:numFmt w:val="lowerRoman"/>
      <w:lvlText w:val="(%1)"/>
      <w:lvlJc w:val="left"/>
      <w:pPr>
        <w:ind w:left="1080" w:hanging="72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4" w15:restartNumberingAfterBreak="0">
    <w:nsid w:val="684E57A0"/>
    <w:multiLevelType w:val="multilevel"/>
    <w:tmpl w:val="1DEE7542"/>
    <w:name w:val="Jeff's Preferred Bullets"/>
    <w:lvl w:ilvl="0">
      <w:start w:val="1"/>
      <w:numFmt w:val="bullet"/>
      <w:pStyle w:val="JeffsPreferredBullets"/>
      <w:lvlText w:val="o"/>
      <w:lvlJc w:val="left"/>
      <w:pPr>
        <w:tabs>
          <w:tab w:val="num" w:pos="648"/>
        </w:tabs>
        <w:ind w:left="720" w:hanging="360"/>
      </w:pPr>
      <w:rPr>
        <w:rFonts w:ascii="Courier New" w:hAnsi="Courier New" w:hint="default"/>
        <w:color w:val="222222"/>
        <w:sz w:val="22"/>
        <w:szCs w:val="22"/>
        <w:u w:val="none"/>
      </w:rPr>
    </w:lvl>
    <w:lvl w:ilvl="1">
      <w:start w:val="1"/>
      <w:numFmt w:val="bullet"/>
      <w:lvlText w:val=""/>
      <w:lvlJc w:val="left"/>
      <w:pPr>
        <w:tabs>
          <w:tab w:val="num" w:pos="1152"/>
        </w:tabs>
        <w:ind w:left="1224" w:hanging="360"/>
      </w:pPr>
      <w:rPr>
        <w:rFonts w:ascii="Symbol" w:hAnsi="Symbol" w:hint="default"/>
        <w:color w:val="auto"/>
        <w:sz w:val="22"/>
        <w:szCs w:val="22"/>
        <w:u w:val="none"/>
      </w:rPr>
    </w:lvl>
    <w:lvl w:ilvl="2">
      <w:start w:val="1"/>
      <w:numFmt w:val="bullet"/>
      <w:lvlText w:val="■"/>
      <w:lvlJc w:val="left"/>
      <w:pPr>
        <w:tabs>
          <w:tab w:val="num" w:pos="1656"/>
        </w:tabs>
        <w:ind w:left="1728" w:hanging="360"/>
      </w:pPr>
      <w:rPr>
        <w:rFonts w:hint="default"/>
        <w:u w:val="none"/>
      </w:rPr>
    </w:lvl>
    <w:lvl w:ilvl="3">
      <w:start w:val="1"/>
      <w:numFmt w:val="bullet"/>
      <w:lvlText w:val="○"/>
      <w:lvlJc w:val="left"/>
      <w:pPr>
        <w:tabs>
          <w:tab w:val="num" w:pos="2160"/>
        </w:tabs>
        <w:ind w:left="2232" w:hanging="360"/>
      </w:pPr>
      <w:rPr>
        <w:rFonts w:ascii="Arial" w:hAnsi="Arial" w:hint="default"/>
        <w:color w:val="222222"/>
        <w:u w:val="none"/>
      </w:rPr>
    </w:lvl>
    <w:lvl w:ilvl="4">
      <w:start w:val="1"/>
      <w:numFmt w:val="bullet"/>
      <w:lvlText w:val="o"/>
      <w:lvlJc w:val="left"/>
      <w:pPr>
        <w:tabs>
          <w:tab w:val="num" w:pos="2664"/>
        </w:tabs>
        <w:ind w:left="2736" w:hanging="360"/>
      </w:pPr>
      <w:rPr>
        <w:rFonts w:ascii="Courier New" w:hAnsi="Courier New" w:hint="default"/>
        <w:color w:val="222222"/>
        <w:u w:val="none"/>
      </w:rPr>
    </w:lvl>
    <w:lvl w:ilvl="5">
      <w:start w:val="1"/>
      <w:numFmt w:val="bullet"/>
      <w:lvlText w:val=""/>
      <w:lvlJc w:val="left"/>
      <w:pPr>
        <w:tabs>
          <w:tab w:val="num" w:pos="3168"/>
        </w:tabs>
        <w:ind w:left="3240" w:hanging="360"/>
      </w:pPr>
      <w:rPr>
        <w:rFonts w:ascii="Symbol" w:hAnsi="Symbol" w:hint="default"/>
        <w:color w:val="auto"/>
        <w:u w:val="none"/>
      </w:rPr>
    </w:lvl>
    <w:lvl w:ilvl="6">
      <w:start w:val="1"/>
      <w:numFmt w:val="bullet"/>
      <w:lvlText w:val="■"/>
      <w:lvlJc w:val="left"/>
      <w:pPr>
        <w:tabs>
          <w:tab w:val="num" w:pos="3672"/>
        </w:tabs>
        <w:ind w:left="3744" w:hanging="360"/>
      </w:pPr>
      <w:rPr>
        <w:rFonts w:hint="default"/>
        <w:u w:val="none"/>
      </w:rPr>
    </w:lvl>
    <w:lvl w:ilvl="7">
      <w:start w:val="1"/>
      <w:numFmt w:val="bullet"/>
      <w:lvlText w:val="○"/>
      <w:lvlJc w:val="left"/>
      <w:pPr>
        <w:tabs>
          <w:tab w:val="num" w:pos="4176"/>
        </w:tabs>
        <w:ind w:left="4248" w:hanging="360"/>
      </w:pPr>
      <w:rPr>
        <w:rFonts w:hint="default"/>
        <w:u w:val="none"/>
      </w:rPr>
    </w:lvl>
    <w:lvl w:ilvl="8">
      <w:start w:val="1"/>
      <w:numFmt w:val="bullet"/>
      <w:lvlText w:val="■"/>
      <w:lvlJc w:val="left"/>
      <w:pPr>
        <w:tabs>
          <w:tab w:val="num" w:pos="4680"/>
        </w:tabs>
        <w:ind w:left="4752" w:hanging="360"/>
      </w:pPr>
      <w:rPr>
        <w:rFonts w:hint="default"/>
        <w:u w:val="none"/>
      </w:rPr>
    </w:lvl>
  </w:abstractNum>
  <w:abstractNum w:abstractNumId="45" w15:restartNumberingAfterBreak="0">
    <w:nsid w:val="6A1B6DED"/>
    <w:multiLevelType w:val="multilevel"/>
    <w:tmpl w:val="C302B3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0B76ABF"/>
    <w:multiLevelType w:val="hybridMultilevel"/>
    <w:tmpl w:val="C302B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6A6143"/>
    <w:multiLevelType w:val="hybridMultilevel"/>
    <w:tmpl w:val="A57AA12E"/>
    <w:lvl w:ilvl="0" w:tplc="CDF832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D04AB5"/>
    <w:multiLevelType w:val="hybridMultilevel"/>
    <w:tmpl w:val="CC485D44"/>
    <w:lvl w:ilvl="0" w:tplc="8EDC0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535AD2"/>
    <w:multiLevelType w:val="hybridMultilevel"/>
    <w:tmpl w:val="A2AC4DE4"/>
    <w:lvl w:ilvl="0" w:tplc="C052BD96">
      <w:numFmt w:val="bullet"/>
      <w:lvlText w:val="-"/>
      <w:lvlJc w:val="left"/>
      <w:pPr>
        <w:ind w:left="408" w:hanging="360"/>
      </w:pPr>
      <w:rPr>
        <w:rFonts w:ascii="Calibri" w:eastAsia="Calibri" w:hAnsi="Calibri" w:cs="Calibri"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num w:numId="1" w16cid:durableId="314652383">
    <w:abstractNumId w:val="4"/>
  </w:num>
  <w:num w:numId="2" w16cid:durableId="699940483">
    <w:abstractNumId w:val="34"/>
  </w:num>
  <w:num w:numId="3" w16cid:durableId="454519212">
    <w:abstractNumId w:val="13"/>
  </w:num>
  <w:num w:numId="4" w16cid:durableId="1998074899">
    <w:abstractNumId w:val="36"/>
  </w:num>
  <w:num w:numId="5" w16cid:durableId="1188955383">
    <w:abstractNumId w:val="10"/>
  </w:num>
  <w:num w:numId="6" w16cid:durableId="455638398">
    <w:abstractNumId w:val="24"/>
  </w:num>
  <w:num w:numId="7" w16cid:durableId="1044872272">
    <w:abstractNumId w:val="18"/>
  </w:num>
  <w:num w:numId="8" w16cid:durableId="62457315">
    <w:abstractNumId w:val="22"/>
  </w:num>
  <w:num w:numId="9" w16cid:durableId="641036900">
    <w:abstractNumId w:val="2"/>
  </w:num>
  <w:num w:numId="10" w16cid:durableId="6640130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18766838">
    <w:abstractNumId w:val="38"/>
  </w:num>
  <w:num w:numId="12" w16cid:durableId="456993931">
    <w:abstractNumId w:val="41"/>
  </w:num>
  <w:num w:numId="13" w16cid:durableId="580331685">
    <w:abstractNumId w:val="20"/>
  </w:num>
  <w:num w:numId="14" w16cid:durableId="154154824">
    <w:abstractNumId w:val="26"/>
  </w:num>
  <w:num w:numId="15" w16cid:durableId="270551010">
    <w:abstractNumId w:val="48"/>
  </w:num>
  <w:num w:numId="16" w16cid:durableId="134379655">
    <w:abstractNumId w:val="25"/>
  </w:num>
  <w:num w:numId="17" w16cid:durableId="1432046171">
    <w:abstractNumId w:val="42"/>
  </w:num>
  <w:num w:numId="18" w16cid:durableId="596518203">
    <w:abstractNumId w:val="37"/>
  </w:num>
  <w:num w:numId="19" w16cid:durableId="1472481219">
    <w:abstractNumId w:val="23"/>
  </w:num>
  <w:num w:numId="20" w16cid:durableId="787048520">
    <w:abstractNumId w:val="31"/>
  </w:num>
  <w:num w:numId="21" w16cid:durableId="144707965">
    <w:abstractNumId w:val="16"/>
  </w:num>
  <w:num w:numId="22" w16cid:durableId="1735811374">
    <w:abstractNumId w:val="43"/>
  </w:num>
  <w:num w:numId="23" w16cid:durableId="597101465">
    <w:abstractNumId w:val="14"/>
  </w:num>
  <w:num w:numId="24" w16cid:durableId="238953008">
    <w:abstractNumId w:val="1"/>
  </w:num>
  <w:num w:numId="25" w16cid:durableId="843545040">
    <w:abstractNumId w:val="39"/>
  </w:num>
  <w:num w:numId="26" w16cid:durableId="379985907">
    <w:abstractNumId w:val="0"/>
  </w:num>
  <w:num w:numId="27" w16cid:durableId="1545367390">
    <w:abstractNumId w:val="44"/>
  </w:num>
  <w:num w:numId="28" w16cid:durableId="2048555434">
    <w:abstractNumId w:val="40"/>
  </w:num>
  <w:num w:numId="29" w16cid:durableId="261957423">
    <w:abstractNumId w:val="28"/>
  </w:num>
  <w:num w:numId="30" w16cid:durableId="1770852660">
    <w:abstractNumId w:val="35"/>
  </w:num>
  <w:num w:numId="31" w16cid:durableId="2006397696">
    <w:abstractNumId w:val="33"/>
  </w:num>
  <w:num w:numId="32" w16cid:durableId="9637343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642443">
    <w:abstractNumId w:val="27"/>
  </w:num>
  <w:num w:numId="34" w16cid:durableId="43600415">
    <w:abstractNumId w:val="29"/>
  </w:num>
  <w:num w:numId="35" w16cid:durableId="1594510770">
    <w:abstractNumId w:val="11"/>
    <w:lvlOverride w:ilvl="0">
      <w:lvl w:ilvl="0">
        <w:start w:val="1"/>
        <w:numFmt w:val="decimal"/>
        <w:suff w:val="nothing"/>
        <w:lvlText w:val="ARTICLE %1"/>
        <w:lvlJc w:val="left"/>
        <w:rPr>
          <w:rFonts w:ascii="Times New Roman Bold" w:hAnsi="Times New Roman Bold" w:cs="Cambria"/>
          <w:b/>
          <w:bCs/>
          <w:strike w:val="0"/>
          <w:dstrike w:val="0"/>
          <w:sz w:val="24"/>
          <w:szCs w:val="24"/>
        </w:rPr>
      </w:lvl>
    </w:lvlOverride>
    <w:lvlOverride w:ilvl="1">
      <w:lvl w:ilvl="1">
        <w:start w:val="1"/>
        <w:numFmt w:val="decimal"/>
        <w:lvlText w:val="%1.%2"/>
        <w:lvlJc w:val="left"/>
        <w:pPr>
          <w:tabs>
            <w:tab w:val="left" w:pos="1440"/>
          </w:tabs>
          <w:ind w:firstLine="720"/>
        </w:pPr>
        <w:rPr>
          <w:rFonts w:ascii="Times New Roman" w:hAnsi="Times New Roman" w:cs="Times New Roman"/>
          <w:b w:val="0"/>
          <w:bCs w:val="0"/>
          <w:i w:val="0"/>
          <w:iCs w:val="0"/>
          <w:caps w:val="0"/>
          <w:strike w:val="0"/>
          <w:dstrike w:val="0"/>
          <w:sz w:val="24"/>
          <w:szCs w:val="24"/>
        </w:rPr>
      </w:lvl>
    </w:lvlOverride>
    <w:lvlOverride w:ilvl="2">
      <w:lvl w:ilvl="2">
        <w:start w:val="1"/>
        <w:numFmt w:val="lowerLetter"/>
        <w:lvlText w:val="(%3)"/>
        <w:lvlJc w:val="left"/>
        <w:pPr>
          <w:tabs>
            <w:tab w:val="left" w:pos="2250"/>
          </w:tabs>
          <w:ind w:firstLine="1440"/>
        </w:pPr>
        <w:rPr>
          <w:rFonts w:ascii="Times New Roman" w:hAnsi="Times New Roman" w:cs="Times New Roman"/>
          <w:b w:val="0"/>
          <w:i w:val="0"/>
          <w:iCs w:val="0"/>
          <w:strike w:val="0"/>
          <w:dstrike w:val="0"/>
          <w:color w:val="auto"/>
          <w:sz w:val="24"/>
          <w:szCs w:val="24"/>
        </w:rPr>
      </w:lvl>
    </w:lvlOverride>
    <w:lvlOverride w:ilvl="3">
      <w:lvl w:ilvl="3">
        <w:start w:val="1"/>
        <w:numFmt w:val="lowerRoman"/>
        <w:lvlText w:val="(%4)"/>
        <w:lvlJc w:val="left"/>
        <w:pPr>
          <w:tabs>
            <w:tab w:val="left" w:pos="3240"/>
          </w:tabs>
          <w:ind w:left="360" w:firstLine="2160"/>
        </w:pPr>
        <w:rPr>
          <w:rFonts w:ascii="Times New Roman" w:hAnsi="Times New Roman" w:cs="Times New Roman"/>
          <w:b w:val="0"/>
          <w:bCs w:val="0"/>
          <w:i w:val="0"/>
          <w:iCs w:val="0"/>
          <w:strike w:val="0"/>
          <w:dstrike w:val="0"/>
          <w:sz w:val="24"/>
          <w:szCs w:val="24"/>
        </w:rPr>
      </w:lvl>
    </w:lvlOverride>
    <w:lvlOverride w:ilvl="4">
      <w:lvl w:ilvl="4">
        <w:start w:val="1"/>
        <w:numFmt w:val="upperLetter"/>
        <w:lvlText w:val="(%5)"/>
        <w:lvlJc w:val="left"/>
        <w:pPr>
          <w:tabs>
            <w:tab w:val="left" w:pos="3600"/>
          </w:tabs>
          <w:ind w:left="2880"/>
        </w:pPr>
        <w:rPr>
          <w:rFonts w:ascii="Harrington" w:hAnsi="Harrington" w:cs="Cambria"/>
          <w:b w:val="0"/>
          <w:bCs w:val="0"/>
          <w:i w:val="0"/>
          <w:iCs w:val="0"/>
          <w:strike w:val="0"/>
          <w:dstrike w:val="0"/>
          <w:sz w:val="24"/>
          <w:szCs w:val="24"/>
        </w:rPr>
      </w:lvl>
    </w:lvlOverride>
    <w:lvlOverride w:ilvl="5">
      <w:lvl w:ilvl="5">
        <w:start w:val="1"/>
        <w:numFmt w:val="lowerRoman"/>
        <w:lvlText w:val="(%6)"/>
        <w:lvlJc w:val="left"/>
        <w:pPr>
          <w:tabs>
            <w:tab w:val="left" w:pos="1440"/>
          </w:tabs>
          <w:ind w:left="1440"/>
        </w:pPr>
        <w:rPr>
          <w:rFonts w:cs="Times New Roman"/>
          <w:strike w:val="0"/>
          <w:dstrike w:val="0"/>
        </w:rPr>
      </w:lvl>
    </w:lvlOverride>
    <w:lvlOverride w:ilvl="6">
      <w:lvl w:ilvl="6">
        <w:start w:val="1"/>
        <w:numFmt w:val="decimal"/>
        <w:lvlText w:val="%7."/>
        <w:lvlJc w:val="left"/>
        <w:pPr>
          <w:tabs>
            <w:tab w:val="left" w:pos="1440"/>
          </w:tabs>
          <w:ind w:left="1440"/>
        </w:pPr>
        <w:rPr>
          <w:rFonts w:cs="Times New Roman"/>
          <w:strike w:val="0"/>
          <w:dstrike w:val="0"/>
        </w:rPr>
      </w:lvl>
    </w:lvlOverride>
    <w:lvlOverride w:ilvl="7">
      <w:lvl w:ilvl="7">
        <w:start w:val="1"/>
        <w:numFmt w:val="lowerLetter"/>
        <w:lvlText w:val="(%8)"/>
        <w:lvlJc w:val="left"/>
        <w:pPr>
          <w:tabs>
            <w:tab w:val="left" w:pos="1440"/>
          </w:tabs>
          <w:ind w:left="1440"/>
        </w:pPr>
        <w:rPr>
          <w:rFonts w:ascii="Times New Roman" w:eastAsia="Times New Roman" w:hAnsi="Times New Roman" w:cs="Times New Roman"/>
          <w:strike w:val="0"/>
          <w:dstrike w:val="0"/>
        </w:rPr>
      </w:lvl>
    </w:lvlOverride>
    <w:lvlOverride w:ilvl="8">
      <w:lvl w:ilvl="8">
        <w:start w:val="1"/>
        <w:numFmt w:val="lowerRoman"/>
        <w:lvlText w:val="%9."/>
        <w:lvlJc w:val="left"/>
        <w:pPr>
          <w:tabs>
            <w:tab w:val="left" w:pos="1440"/>
          </w:tabs>
          <w:ind w:left="1440"/>
        </w:pPr>
        <w:rPr>
          <w:rFonts w:cs="Times New Roman"/>
          <w:strike w:val="0"/>
          <w:dstrike w:val="0"/>
        </w:rPr>
      </w:lvl>
    </w:lvlOverride>
  </w:num>
  <w:num w:numId="36" w16cid:durableId="939065412">
    <w:abstractNumId w:val="11"/>
  </w:num>
  <w:num w:numId="37" w16cid:durableId="1294559011">
    <w:abstractNumId w:val="47"/>
  </w:num>
  <w:num w:numId="38" w16cid:durableId="4773086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37076234">
    <w:abstractNumId w:val="19"/>
  </w:num>
  <w:num w:numId="40" w16cid:durableId="1106853291">
    <w:abstractNumId w:val="12"/>
  </w:num>
  <w:num w:numId="41" w16cid:durableId="1108886591">
    <w:abstractNumId w:val="5"/>
  </w:num>
  <w:num w:numId="42" w16cid:durableId="1835799234">
    <w:abstractNumId w:val="49"/>
  </w:num>
  <w:num w:numId="43" w16cid:durableId="2083942214">
    <w:abstractNumId w:val="46"/>
  </w:num>
  <w:num w:numId="44" w16cid:durableId="635185408">
    <w:abstractNumId w:val="3"/>
  </w:num>
  <w:num w:numId="45" w16cid:durableId="1352221041">
    <w:abstractNumId w:val="45"/>
  </w:num>
  <w:num w:numId="46" w16cid:durableId="789010838">
    <w:abstractNumId w:val="21"/>
  </w:num>
  <w:num w:numId="47" w16cid:durableId="982343725">
    <w:abstractNumId w:val="32"/>
  </w:num>
  <w:num w:numId="48" w16cid:durableId="1628000579">
    <w:abstractNumId w:val="8"/>
  </w:num>
  <w:num w:numId="49" w16cid:durableId="1903443799">
    <w:abstractNumId w:val="15"/>
  </w:num>
  <w:num w:numId="50" w16cid:durableId="292372737">
    <w:abstractNumId w:val="30"/>
  </w:num>
  <w:num w:numId="51" w16cid:durableId="1183662135">
    <w:abstractNumId w:val="7"/>
  </w:num>
  <w:num w:numId="52" w16cid:durableId="677199249">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FF5"/>
    <w:rsid w:val="00002127"/>
    <w:rsid w:val="00003B30"/>
    <w:rsid w:val="00005184"/>
    <w:rsid w:val="0000555C"/>
    <w:rsid w:val="00005DD2"/>
    <w:rsid w:val="00007E94"/>
    <w:rsid w:val="000133EE"/>
    <w:rsid w:val="00013AD4"/>
    <w:rsid w:val="000155AA"/>
    <w:rsid w:val="00015682"/>
    <w:rsid w:val="000167EB"/>
    <w:rsid w:val="000175FF"/>
    <w:rsid w:val="00017AB9"/>
    <w:rsid w:val="00017BE6"/>
    <w:rsid w:val="00020B79"/>
    <w:rsid w:val="00022A46"/>
    <w:rsid w:val="0002307E"/>
    <w:rsid w:val="000230DA"/>
    <w:rsid w:val="0002376E"/>
    <w:rsid w:val="000249B9"/>
    <w:rsid w:val="00025831"/>
    <w:rsid w:val="000260A0"/>
    <w:rsid w:val="000268EC"/>
    <w:rsid w:val="000268F0"/>
    <w:rsid w:val="00026D8A"/>
    <w:rsid w:val="000271F6"/>
    <w:rsid w:val="00027AE0"/>
    <w:rsid w:val="00030607"/>
    <w:rsid w:val="00031AFE"/>
    <w:rsid w:val="00036807"/>
    <w:rsid w:val="0003721A"/>
    <w:rsid w:val="00037439"/>
    <w:rsid w:val="00037470"/>
    <w:rsid w:val="00040FEB"/>
    <w:rsid w:val="00041A6E"/>
    <w:rsid w:val="000444D9"/>
    <w:rsid w:val="00045F2E"/>
    <w:rsid w:val="000536FC"/>
    <w:rsid w:val="00054A93"/>
    <w:rsid w:val="00057A7C"/>
    <w:rsid w:val="000600EF"/>
    <w:rsid w:val="00064247"/>
    <w:rsid w:val="00064C62"/>
    <w:rsid w:val="0006686C"/>
    <w:rsid w:val="0007109E"/>
    <w:rsid w:val="00073535"/>
    <w:rsid w:val="0007559C"/>
    <w:rsid w:val="00080E31"/>
    <w:rsid w:val="00081503"/>
    <w:rsid w:val="00081B65"/>
    <w:rsid w:val="0008453F"/>
    <w:rsid w:val="00092A34"/>
    <w:rsid w:val="000938E3"/>
    <w:rsid w:val="0009415E"/>
    <w:rsid w:val="00096332"/>
    <w:rsid w:val="00097B1F"/>
    <w:rsid w:val="000A2A89"/>
    <w:rsid w:val="000A303B"/>
    <w:rsid w:val="000A3BCB"/>
    <w:rsid w:val="000B4CAE"/>
    <w:rsid w:val="000B4E0D"/>
    <w:rsid w:val="000C4CCD"/>
    <w:rsid w:val="000C51A1"/>
    <w:rsid w:val="000C5722"/>
    <w:rsid w:val="000C67A3"/>
    <w:rsid w:val="000D150F"/>
    <w:rsid w:val="000D294F"/>
    <w:rsid w:val="000D3D19"/>
    <w:rsid w:val="000D3F9A"/>
    <w:rsid w:val="000D5F88"/>
    <w:rsid w:val="000D6EC6"/>
    <w:rsid w:val="000D7813"/>
    <w:rsid w:val="000E0719"/>
    <w:rsid w:val="000E2F88"/>
    <w:rsid w:val="000E63D3"/>
    <w:rsid w:val="000E64C5"/>
    <w:rsid w:val="000E69AB"/>
    <w:rsid w:val="000E71CB"/>
    <w:rsid w:val="000F07C7"/>
    <w:rsid w:val="000F197E"/>
    <w:rsid w:val="000F1FB4"/>
    <w:rsid w:val="000F6907"/>
    <w:rsid w:val="0010290E"/>
    <w:rsid w:val="00103964"/>
    <w:rsid w:val="001051CA"/>
    <w:rsid w:val="001061D2"/>
    <w:rsid w:val="00111D81"/>
    <w:rsid w:val="001130FC"/>
    <w:rsid w:val="00113F46"/>
    <w:rsid w:val="00115F92"/>
    <w:rsid w:val="00116D5D"/>
    <w:rsid w:val="001179EB"/>
    <w:rsid w:val="00127A13"/>
    <w:rsid w:val="00130F92"/>
    <w:rsid w:val="00132C44"/>
    <w:rsid w:val="0013398A"/>
    <w:rsid w:val="00136BF0"/>
    <w:rsid w:val="001434DD"/>
    <w:rsid w:val="00144DB1"/>
    <w:rsid w:val="001453C6"/>
    <w:rsid w:val="0014727A"/>
    <w:rsid w:val="00147F0C"/>
    <w:rsid w:val="00150519"/>
    <w:rsid w:val="0015099F"/>
    <w:rsid w:val="0015401B"/>
    <w:rsid w:val="001567F4"/>
    <w:rsid w:val="00161AC7"/>
    <w:rsid w:val="0016328C"/>
    <w:rsid w:val="00163B29"/>
    <w:rsid w:val="00163FB2"/>
    <w:rsid w:val="00164B57"/>
    <w:rsid w:val="00172DCF"/>
    <w:rsid w:val="00174416"/>
    <w:rsid w:val="0017532E"/>
    <w:rsid w:val="001805A1"/>
    <w:rsid w:val="00180C3E"/>
    <w:rsid w:val="00181090"/>
    <w:rsid w:val="00183232"/>
    <w:rsid w:val="0018388D"/>
    <w:rsid w:val="00183DA9"/>
    <w:rsid w:val="001841B7"/>
    <w:rsid w:val="001944C2"/>
    <w:rsid w:val="00194D0D"/>
    <w:rsid w:val="00194D43"/>
    <w:rsid w:val="001957E4"/>
    <w:rsid w:val="00196633"/>
    <w:rsid w:val="001978A3"/>
    <w:rsid w:val="001A1866"/>
    <w:rsid w:val="001A1E2E"/>
    <w:rsid w:val="001A641D"/>
    <w:rsid w:val="001A7BFC"/>
    <w:rsid w:val="001B0077"/>
    <w:rsid w:val="001B0368"/>
    <w:rsid w:val="001B3C8C"/>
    <w:rsid w:val="001B4160"/>
    <w:rsid w:val="001B5B25"/>
    <w:rsid w:val="001B6AB0"/>
    <w:rsid w:val="001B766D"/>
    <w:rsid w:val="001C04E2"/>
    <w:rsid w:val="001C0AD6"/>
    <w:rsid w:val="001C26A0"/>
    <w:rsid w:val="001C2924"/>
    <w:rsid w:val="001C2E21"/>
    <w:rsid w:val="001C5B93"/>
    <w:rsid w:val="001C7A70"/>
    <w:rsid w:val="001D0B88"/>
    <w:rsid w:val="001D0CB6"/>
    <w:rsid w:val="001D0D69"/>
    <w:rsid w:val="001D18A7"/>
    <w:rsid w:val="001D3853"/>
    <w:rsid w:val="001D5844"/>
    <w:rsid w:val="001D6363"/>
    <w:rsid w:val="001D6B34"/>
    <w:rsid w:val="001E0946"/>
    <w:rsid w:val="001E11EB"/>
    <w:rsid w:val="001E2347"/>
    <w:rsid w:val="001E4BF3"/>
    <w:rsid w:val="001F0DF0"/>
    <w:rsid w:val="001F71A9"/>
    <w:rsid w:val="00200C45"/>
    <w:rsid w:val="00200C64"/>
    <w:rsid w:val="0020332D"/>
    <w:rsid w:val="00205243"/>
    <w:rsid w:val="002078F3"/>
    <w:rsid w:val="002100B0"/>
    <w:rsid w:val="00212BAF"/>
    <w:rsid w:val="00213604"/>
    <w:rsid w:val="002147F4"/>
    <w:rsid w:val="00214B1A"/>
    <w:rsid w:val="002156B6"/>
    <w:rsid w:val="00215AB5"/>
    <w:rsid w:val="0022210C"/>
    <w:rsid w:val="002230AB"/>
    <w:rsid w:val="00226B5A"/>
    <w:rsid w:val="00227065"/>
    <w:rsid w:val="00227298"/>
    <w:rsid w:val="0023081E"/>
    <w:rsid w:val="00233611"/>
    <w:rsid w:val="00234F6B"/>
    <w:rsid w:val="00237B92"/>
    <w:rsid w:val="002443B2"/>
    <w:rsid w:val="0024456B"/>
    <w:rsid w:val="00253780"/>
    <w:rsid w:val="00254F79"/>
    <w:rsid w:val="0025626A"/>
    <w:rsid w:val="00257A64"/>
    <w:rsid w:val="002623FC"/>
    <w:rsid w:val="00262AF2"/>
    <w:rsid w:val="0026650D"/>
    <w:rsid w:val="002711EA"/>
    <w:rsid w:val="00272007"/>
    <w:rsid w:val="00273D66"/>
    <w:rsid w:val="002749DC"/>
    <w:rsid w:val="002800DC"/>
    <w:rsid w:val="00281EC1"/>
    <w:rsid w:val="00284548"/>
    <w:rsid w:val="00284868"/>
    <w:rsid w:val="00284C5F"/>
    <w:rsid w:val="00284F1B"/>
    <w:rsid w:val="00285A5B"/>
    <w:rsid w:val="00286481"/>
    <w:rsid w:val="0028671F"/>
    <w:rsid w:val="00287092"/>
    <w:rsid w:val="0029118B"/>
    <w:rsid w:val="002918F3"/>
    <w:rsid w:val="002929C5"/>
    <w:rsid w:val="00294372"/>
    <w:rsid w:val="002946E5"/>
    <w:rsid w:val="002A1729"/>
    <w:rsid w:val="002A32A6"/>
    <w:rsid w:val="002A38A4"/>
    <w:rsid w:val="002A3B33"/>
    <w:rsid w:val="002A5F2C"/>
    <w:rsid w:val="002A6009"/>
    <w:rsid w:val="002B0806"/>
    <w:rsid w:val="002B09C9"/>
    <w:rsid w:val="002B20C0"/>
    <w:rsid w:val="002B4571"/>
    <w:rsid w:val="002B4FD1"/>
    <w:rsid w:val="002C193B"/>
    <w:rsid w:val="002C2319"/>
    <w:rsid w:val="002D0971"/>
    <w:rsid w:val="002D1471"/>
    <w:rsid w:val="002D166B"/>
    <w:rsid w:val="002D3114"/>
    <w:rsid w:val="002D3D13"/>
    <w:rsid w:val="002D6EE0"/>
    <w:rsid w:val="002D6F84"/>
    <w:rsid w:val="002D7833"/>
    <w:rsid w:val="002E2516"/>
    <w:rsid w:val="002E297F"/>
    <w:rsid w:val="002E3B15"/>
    <w:rsid w:val="002E7069"/>
    <w:rsid w:val="002F0E60"/>
    <w:rsid w:val="002F0F6F"/>
    <w:rsid w:val="002F20D9"/>
    <w:rsid w:val="002F662D"/>
    <w:rsid w:val="0030177C"/>
    <w:rsid w:val="00301CC0"/>
    <w:rsid w:val="00302BAD"/>
    <w:rsid w:val="00303707"/>
    <w:rsid w:val="00304018"/>
    <w:rsid w:val="00305D1B"/>
    <w:rsid w:val="00310243"/>
    <w:rsid w:val="00310C31"/>
    <w:rsid w:val="003120B8"/>
    <w:rsid w:val="0031220B"/>
    <w:rsid w:val="003160FF"/>
    <w:rsid w:val="0031690D"/>
    <w:rsid w:val="00320C2B"/>
    <w:rsid w:val="0032246F"/>
    <w:rsid w:val="00323F9D"/>
    <w:rsid w:val="00325227"/>
    <w:rsid w:val="00326C84"/>
    <w:rsid w:val="00326D14"/>
    <w:rsid w:val="00327F82"/>
    <w:rsid w:val="00331144"/>
    <w:rsid w:val="003315D1"/>
    <w:rsid w:val="00331787"/>
    <w:rsid w:val="00332B3E"/>
    <w:rsid w:val="00343EB3"/>
    <w:rsid w:val="00344066"/>
    <w:rsid w:val="003443B7"/>
    <w:rsid w:val="00345352"/>
    <w:rsid w:val="00346B70"/>
    <w:rsid w:val="00347678"/>
    <w:rsid w:val="00350969"/>
    <w:rsid w:val="003512A9"/>
    <w:rsid w:val="0035281B"/>
    <w:rsid w:val="00352A1E"/>
    <w:rsid w:val="00353D40"/>
    <w:rsid w:val="00355198"/>
    <w:rsid w:val="003623E6"/>
    <w:rsid w:val="003637FE"/>
    <w:rsid w:val="00367A2D"/>
    <w:rsid w:val="00370AD3"/>
    <w:rsid w:val="003723CB"/>
    <w:rsid w:val="00372597"/>
    <w:rsid w:val="00375AE1"/>
    <w:rsid w:val="003776E7"/>
    <w:rsid w:val="00380855"/>
    <w:rsid w:val="003809E4"/>
    <w:rsid w:val="00380EBE"/>
    <w:rsid w:val="00383D2E"/>
    <w:rsid w:val="0039164C"/>
    <w:rsid w:val="00392A23"/>
    <w:rsid w:val="003A200D"/>
    <w:rsid w:val="003A4A99"/>
    <w:rsid w:val="003A50FC"/>
    <w:rsid w:val="003A5417"/>
    <w:rsid w:val="003A59B5"/>
    <w:rsid w:val="003A7055"/>
    <w:rsid w:val="003A7722"/>
    <w:rsid w:val="003B1378"/>
    <w:rsid w:val="003B44A9"/>
    <w:rsid w:val="003B6319"/>
    <w:rsid w:val="003B66E4"/>
    <w:rsid w:val="003B6F9A"/>
    <w:rsid w:val="003B744F"/>
    <w:rsid w:val="003B7DD0"/>
    <w:rsid w:val="003C0A4C"/>
    <w:rsid w:val="003C28BF"/>
    <w:rsid w:val="003C3F9F"/>
    <w:rsid w:val="003C4785"/>
    <w:rsid w:val="003C53E1"/>
    <w:rsid w:val="003C5ED2"/>
    <w:rsid w:val="003C6073"/>
    <w:rsid w:val="003C7A4B"/>
    <w:rsid w:val="003D1B83"/>
    <w:rsid w:val="003D3456"/>
    <w:rsid w:val="003D42EC"/>
    <w:rsid w:val="003D54BE"/>
    <w:rsid w:val="003D5879"/>
    <w:rsid w:val="003D5B5C"/>
    <w:rsid w:val="003D5FEA"/>
    <w:rsid w:val="003D682F"/>
    <w:rsid w:val="003E088B"/>
    <w:rsid w:val="003E4248"/>
    <w:rsid w:val="003E42A6"/>
    <w:rsid w:val="003E4E88"/>
    <w:rsid w:val="003E53DC"/>
    <w:rsid w:val="003E5D60"/>
    <w:rsid w:val="003E60C9"/>
    <w:rsid w:val="003E6B75"/>
    <w:rsid w:val="003E6E93"/>
    <w:rsid w:val="003F00EF"/>
    <w:rsid w:val="003F070D"/>
    <w:rsid w:val="003F0E42"/>
    <w:rsid w:val="003F127A"/>
    <w:rsid w:val="003F2557"/>
    <w:rsid w:val="003F2574"/>
    <w:rsid w:val="003F5336"/>
    <w:rsid w:val="003F69E9"/>
    <w:rsid w:val="003F7297"/>
    <w:rsid w:val="00401E14"/>
    <w:rsid w:val="00402980"/>
    <w:rsid w:val="00403A4D"/>
    <w:rsid w:val="00405C41"/>
    <w:rsid w:val="004075DF"/>
    <w:rsid w:val="004154CE"/>
    <w:rsid w:val="004163D2"/>
    <w:rsid w:val="004222CA"/>
    <w:rsid w:val="00422DE7"/>
    <w:rsid w:val="004257DF"/>
    <w:rsid w:val="004260D4"/>
    <w:rsid w:val="00427C82"/>
    <w:rsid w:val="004327D8"/>
    <w:rsid w:val="004346D5"/>
    <w:rsid w:val="00436547"/>
    <w:rsid w:val="00441DF2"/>
    <w:rsid w:val="00445206"/>
    <w:rsid w:val="00446343"/>
    <w:rsid w:val="004470BF"/>
    <w:rsid w:val="00453154"/>
    <w:rsid w:val="00453783"/>
    <w:rsid w:val="004548EA"/>
    <w:rsid w:val="00455CE7"/>
    <w:rsid w:val="00456242"/>
    <w:rsid w:val="00456957"/>
    <w:rsid w:val="00456BB2"/>
    <w:rsid w:val="00456F96"/>
    <w:rsid w:val="00457C32"/>
    <w:rsid w:val="004608A2"/>
    <w:rsid w:val="00461DD2"/>
    <w:rsid w:val="004627C3"/>
    <w:rsid w:val="00462C42"/>
    <w:rsid w:val="00463554"/>
    <w:rsid w:val="00463EEF"/>
    <w:rsid w:val="00464528"/>
    <w:rsid w:val="00466B75"/>
    <w:rsid w:val="004678DF"/>
    <w:rsid w:val="00470581"/>
    <w:rsid w:val="00470C66"/>
    <w:rsid w:val="00471C20"/>
    <w:rsid w:val="00473321"/>
    <w:rsid w:val="00475ADD"/>
    <w:rsid w:val="00475BFF"/>
    <w:rsid w:val="00475D4C"/>
    <w:rsid w:val="00481206"/>
    <w:rsid w:val="00482F16"/>
    <w:rsid w:val="00483C7E"/>
    <w:rsid w:val="004840CB"/>
    <w:rsid w:val="0049041A"/>
    <w:rsid w:val="004918E0"/>
    <w:rsid w:val="00491AC7"/>
    <w:rsid w:val="00491B6C"/>
    <w:rsid w:val="00491EBE"/>
    <w:rsid w:val="004928A8"/>
    <w:rsid w:val="004947A6"/>
    <w:rsid w:val="00495C0F"/>
    <w:rsid w:val="00495DB8"/>
    <w:rsid w:val="004961D3"/>
    <w:rsid w:val="004A2965"/>
    <w:rsid w:val="004A2B38"/>
    <w:rsid w:val="004A58A1"/>
    <w:rsid w:val="004A5BD0"/>
    <w:rsid w:val="004A739A"/>
    <w:rsid w:val="004A7C72"/>
    <w:rsid w:val="004B7988"/>
    <w:rsid w:val="004C1A67"/>
    <w:rsid w:val="004C24BA"/>
    <w:rsid w:val="004C29EA"/>
    <w:rsid w:val="004C312B"/>
    <w:rsid w:val="004C3A9E"/>
    <w:rsid w:val="004C4953"/>
    <w:rsid w:val="004C6D8C"/>
    <w:rsid w:val="004D15C8"/>
    <w:rsid w:val="004D1686"/>
    <w:rsid w:val="004E1CDC"/>
    <w:rsid w:val="004E6F64"/>
    <w:rsid w:val="004F0A48"/>
    <w:rsid w:val="004F170B"/>
    <w:rsid w:val="004F2506"/>
    <w:rsid w:val="004F7067"/>
    <w:rsid w:val="004F753F"/>
    <w:rsid w:val="004F7ADB"/>
    <w:rsid w:val="005019E2"/>
    <w:rsid w:val="00507296"/>
    <w:rsid w:val="0051372A"/>
    <w:rsid w:val="00513D8C"/>
    <w:rsid w:val="005140E8"/>
    <w:rsid w:val="0051506F"/>
    <w:rsid w:val="00523402"/>
    <w:rsid w:val="00523BF9"/>
    <w:rsid w:val="00523C9A"/>
    <w:rsid w:val="00523FAD"/>
    <w:rsid w:val="00530770"/>
    <w:rsid w:val="00531EEB"/>
    <w:rsid w:val="00532D72"/>
    <w:rsid w:val="00533FC2"/>
    <w:rsid w:val="005341AD"/>
    <w:rsid w:val="0053440E"/>
    <w:rsid w:val="0053593E"/>
    <w:rsid w:val="00535D4F"/>
    <w:rsid w:val="005369D9"/>
    <w:rsid w:val="00536AAD"/>
    <w:rsid w:val="005421DE"/>
    <w:rsid w:val="005424E5"/>
    <w:rsid w:val="005428E7"/>
    <w:rsid w:val="00552F09"/>
    <w:rsid w:val="00553512"/>
    <w:rsid w:val="00555BA1"/>
    <w:rsid w:val="00555BFF"/>
    <w:rsid w:val="00555F72"/>
    <w:rsid w:val="00561838"/>
    <w:rsid w:val="00564DEF"/>
    <w:rsid w:val="005710FD"/>
    <w:rsid w:val="005714F8"/>
    <w:rsid w:val="00572C23"/>
    <w:rsid w:val="00576253"/>
    <w:rsid w:val="00576E5D"/>
    <w:rsid w:val="005778DF"/>
    <w:rsid w:val="005805BE"/>
    <w:rsid w:val="00580FA1"/>
    <w:rsid w:val="00582FF4"/>
    <w:rsid w:val="00583C84"/>
    <w:rsid w:val="00584B79"/>
    <w:rsid w:val="00591EAC"/>
    <w:rsid w:val="005945D8"/>
    <w:rsid w:val="00595010"/>
    <w:rsid w:val="0059652D"/>
    <w:rsid w:val="005A2378"/>
    <w:rsid w:val="005A2802"/>
    <w:rsid w:val="005A46A8"/>
    <w:rsid w:val="005A5596"/>
    <w:rsid w:val="005A5BDC"/>
    <w:rsid w:val="005B0237"/>
    <w:rsid w:val="005B29FE"/>
    <w:rsid w:val="005C3769"/>
    <w:rsid w:val="005C6000"/>
    <w:rsid w:val="005C774B"/>
    <w:rsid w:val="005D0459"/>
    <w:rsid w:val="005D2A99"/>
    <w:rsid w:val="005D4A9F"/>
    <w:rsid w:val="005D6109"/>
    <w:rsid w:val="005E0981"/>
    <w:rsid w:val="005E09FD"/>
    <w:rsid w:val="005E0A92"/>
    <w:rsid w:val="005E2033"/>
    <w:rsid w:val="005E286E"/>
    <w:rsid w:val="005E3CB7"/>
    <w:rsid w:val="005E3EB3"/>
    <w:rsid w:val="005E463E"/>
    <w:rsid w:val="005E7FD0"/>
    <w:rsid w:val="005F0EEA"/>
    <w:rsid w:val="005F2116"/>
    <w:rsid w:val="005F3A14"/>
    <w:rsid w:val="005F3CD2"/>
    <w:rsid w:val="005F7E3D"/>
    <w:rsid w:val="00600713"/>
    <w:rsid w:val="006011DF"/>
    <w:rsid w:val="0060192D"/>
    <w:rsid w:val="006019DD"/>
    <w:rsid w:val="00602817"/>
    <w:rsid w:val="0060513A"/>
    <w:rsid w:val="00605177"/>
    <w:rsid w:val="006065C7"/>
    <w:rsid w:val="00607398"/>
    <w:rsid w:val="0060773F"/>
    <w:rsid w:val="00607D7F"/>
    <w:rsid w:val="00607E64"/>
    <w:rsid w:val="00610B68"/>
    <w:rsid w:val="006206B0"/>
    <w:rsid w:val="00621123"/>
    <w:rsid w:val="00621407"/>
    <w:rsid w:val="006216A3"/>
    <w:rsid w:val="00621EB8"/>
    <w:rsid w:val="00621FAD"/>
    <w:rsid w:val="00622CEA"/>
    <w:rsid w:val="00623F69"/>
    <w:rsid w:val="00624D24"/>
    <w:rsid w:val="00626DD0"/>
    <w:rsid w:val="0062718F"/>
    <w:rsid w:val="006278DF"/>
    <w:rsid w:val="006313A7"/>
    <w:rsid w:val="00631EB3"/>
    <w:rsid w:val="00632D7F"/>
    <w:rsid w:val="0063301E"/>
    <w:rsid w:val="00633530"/>
    <w:rsid w:val="00635310"/>
    <w:rsid w:val="00641037"/>
    <w:rsid w:val="00642F27"/>
    <w:rsid w:val="006446D9"/>
    <w:rsid w:val="00646B95"/>
    <w:rsid w:val="0064721B"/>
    <w:rsid w:val="0065140A"/>
    <w:rsid w:val="00651D9C"/>
    <w:rsid w:val="00651FF4"/>
    <w:rsid w:val="006544AD"/>
    <w:rsid w:val="00654B5F"/>
    <w:rsid w:val="00656CC5"/>
    <w:rsid w:val="006574EB"/>
    <w:rsid w:val="006574FA"/>
    <w:rsid w:val="00657E90"/>
    <w:rsid w:val="00663EB5"/>
    <w:rsid w:val="00665037"/>
    <w:rsid w:val="006675B6"/>
    <w:rsid w:val="00671265"/>
    <w:rsid w:val="00671FD0"/>
    <w:rsid w:val="00676102"/>
    <w:rsid w:val="006773D3"/>
    <w:rsid w:val="0068093C"/>
    <w:rsid w:val="0068266C"/>
    <w:rsid w:val="006833B7"/>
    <w:rsid w:val="00683B2C"/>
    <w:rsid w:val="00684209"/>
    <w:rsid w:val="0068424D"/>
    <w:rsid w:val="0068519D"/>
    <w:rsid w:val="006905C1"/>
    <w:rsid w:val="00690E0D"/>
    <w:rsid w:val="00692B3F"/>
    <w:rsid w:val="00693210"/>
    <w:rsid w:val="00693DB1"/>
    <w:rsid w:val="006943D1"/>
    <w:rsid w:val="00694730"/>
    <w:rsid w:val="00695052"/>
    <w:rsid w:val="00695537"/>
    <w:rsid w:val="00695DE8"/>
    <w:rsid w:val="006968AD"/>
    <w:rsid w:val="006A2501"/>
    <w:rsid w:val="006A27A3"/>
    <w:rsid w:val="006A3A60"/>
    <w:rsid w:val="006A3E3C"/>
    <w:rsid w:val="006A3E82"/>
    <w:rsid w:val="006A7F0F"/>
    <w:rsid w:val="006B0688"/>
    <w:rsid w:val="006B0E3F"/>
    <w:rsid w:val="006B0E9D"/>
    <w:rsid w:val="006B29CB"/>
    <w:rsid w:val="006B5B12"/>
    <w:rsid w:val="006B6397"/>
    <w:rsid w:val="006C0629"/>
    <w:rsid w:val="006C0E67"/>
    <w:rsid w:val="006C113E"/>
    <w:rsid w:val="006C37E6"/>
    <w:rsid w:val="006C7024"/>
    <w:rsid w:val="006D078E"/>
    <w:rsid w:val="006D3753"/>
    <w:rsid w:val="006D5C5C"/>
    <w:rsid w:val="006D5F73"/>
    <w:rsid w:val="006D7168"/>
    <w:rsid w:val="006E0E7A"/>
    <w:rsid w:val="006E13C4"/>
    <w:rsid w:val="006E174E"/>
    <w:rsid w:val="006E34A0"/>
    <w:rsid w:val="006E4696"/>
    <w:rsid w:val="006E652F"/>
    <w:rsid w:val="006F2A03"/>
    <w:rsid w:val="006F3349"/>
    <w:rsid w:val="006F41DE"/>
    <w:rsid w:val="006F66C3"/>
    <w:rsid w:val="006F7A26"/>
    <w:rsid w:val="007021BE"/>
    <w:rsid w:val="00702951"/>
    <w:rsid w:val="00704969"/>
    <w:rsid w:val="00706339"/>
    <w:rsid w:val="00706827"/>
    <w:rsid w:val="00707510"/>
    <w:rsid w:val="007075B1"/>
    <w:rsid w:val="007077B8"/>
    <w:rsid w:val="00711934"/>
    <w:rsid w:val="007120A6"/>
    <w:rsid w:val="007132F4"/>
    <w:rsid w:val="00713B1C"/>
    <w:rsid w:val="00714C0C"/>
    <w:rsid w:val="007204C5"/>
    <w:rsid w:val="00722AB4"/>
    <w:rsid w:val="00723393"/>
    <w:rsid w:val="00724C66"/>
    <w:rsid w:val="007269E0"/>
    <w:rsid w:val="00727C5D"/>
    <w:rsid w:val="0073325C"/>
    <w:rsid w:val="00733A32"/>
    <w:rsid w:val="00734202"/>
    <w:rsid w:val="00735323"/>
    <w:rsid w:val="007374D0"/>
    <w:rsid w:val="00737505"/>
    <w:rsid w:val="0074109B"/>
    <w:rsid w:val="00741B85"/>
    <w:rsid w:val="007422B0"/>
    <w:rsid w:val="007424DB"/>
    <w:rsid w:val="00743699"/>
    <w:rsid w:val="00743A36"/>
    <w:rsid w:val="0074443B"/>
    <w:rsid w:val="007463B3"/>
    <w:rsid w:val="00746C52"/>
    <w:rsid w:val="00746F7F"/>
    <w:rsid w:val="007520A3"/>
    <w:rsid w:val="00753B7D"/>
    <w:rsid w:val="00755043"/>
    <w:rsid w:val="00755F32"/>
    <w:rsid w:val="00756383"/>
    <w:rsid w:val="00761BC8"/>
    <w:rsid w:val="007639B1"/>
    <w:rsid w:val="007646E6"/>
    <w:rsid w:val="00766691"/>
    <w:rsid w:val="00766744"/>
    <w:rsid w:val="00775FE1"/>
    <w:rsid w:val="007779A9"/>
    <w:rsid w:val="007814E1"/>
    <w:rsid w:val="00786632"/>
    <w:rsid w:val="00791BCE"/>
    <w:rsid w:val="00795F1C"/>
    <w:rsid w:val="00796843"/>
    <w:rsid w:val="007A0638"/>
    <w:rsid w:val="007A1BE3"/>
    <w:rsid w:val="007A21EB"/>
    <w:rsid w:val="007A2A9D"/>
    <w:rsid w:val="007A3DF5"/>
    <w:rsid w:val="007A4525"/>
    <w:rsid w:val="007A452A"/>
    <w:rsid w:val="007A76D8"/>
    <w:rsid w:val="007B0491"/>
    <w:rsid w:val="007B1D0C"/>
    <w:rsid w:val="007B2D80"/>
    <w:rsid w:val="007B3829"/>
    <w:rsid w:val="007B451B"/>
    <w:rsid w:val="007B5E7C"/>
    <w:rsid w:val="007B61FD"/>
    <w:rsid w:val="007B63C1"/>
    <w:rsid w:val="007B7424"/>
    <w:rsid w:val="007C0260"/>
    <w:rsid w:val="007C0929"/>
    <w:rsid w:val="007C309F"/>
    <w:rsid w:val="007C3472"/>
    <w:rsid w:val="007C49D6"/>
    <w:rsid w:val="007C4F9E"/>
    <w:rsid w:val="007C67F7"/>
    <w:rsid w:val="007C6A7A"/>
    <w:rsid w:val="007C76B6"/>
    <w:rsid w:val="007C785C"/>
    <w:rsid w:val="007D00D5"/>
    <w:rsid w:val="007D18DA"/>
    <w:rsid w:val="007D1AFD"/>
    <w:rsid w:val="007D2545"/>
    <w:rsid w:val="007D2C3B"/>
    <w:rsid w:val="007D2EB4"/>
    <w:rsid w:val="007D35A0"/>
    <w:rsid w:val="007D366E"/>
    <w:rsid w:val="007D3780"/>
    <w:rsid w:val="007D3CF9"/>
    <w:rsid w:val="007D5FB3"/>
    <w:rsid w:val="007D6651"/>
    <w:rsid w:val="007D6774"/>
    <w:rsid w:val="007E0DAF"/>
    <w:rsid w:val="007E2924"/>
    <w:rsid w:val="007E2B36"/>
    <w:rsid w:val="007E60F9"/>
    <w:rsid w:val="007E65F5"/>
    <w:rsid w:val="007E7318"/>
    <w:rsid w:val="007F00C6"/>
    <w:rsid w:val="007F40B2"/>
    <w:rsid w:val="007F41E1"/>
    <w:rsid w:val="007F612B"/>
    <w:rsid w:val="007F6E4E"/>
    <w:rsid w:val="007F75CA"/>
    <w:rsid w:val="0080062F"/>
    <w:rsid w:val="00803DAD"/>
    <w:rsid w:val="0080493F"/>
    <w:rsid w:val="0080610E"/>
    <w:rsid w:val="0080648A"/>
    <w:rsid w:val="00811DA9"/>
    <w:rsid w:val="008126A1"/>
    <w:rsid w:val="00813B68"/>
    <w:rsid w:val="00815626"/>
    <w:rsid w:val="0081767D"/>
    <w:rsid w:val="00817D57"/>
    <w:rsid w:val="0082691A"/>
    <w:rsid w:val="008310F5"/>
    <w:rsid w:val="00831991"/>
    <w:rsid w:val="00832438"/>
    <w:rsid w:val="00833468"/>
    <w:rsid w:val="00833EC4"/>
    <w:rsid w:val="00833F0A"/>
    <w:rsid w:val="0083520D"/>
    <w:rsid w:val="008357A5"/>
    <w:rsid w:val="008416BC"/>
    <w:rsid w:val="0084323D"/>
    <w:rsid w:val="008445C5"/>
    <w:rsid w:val="00850143"/>
    <w:rsid w:val="00850A6F"/>
    <w:rsid w:val="008513CF"/>
    <w:rsid w:val="00852BB4"/>
    <w:rsid w:val="0085368E"/>
    <w:rsid w:val="00853B5A"/>
    <w:rsid w:val="00854A67"/>
    <w:rsid w:val="00854CB9"/>
    <w:rsid w:val="00857ADC"/>
    <w:rsid w:val="00857C74"/>
    <w:rsid w:val="0086492B"/>
    <w:rsid w:val="008663BA"/>
    <w:rsid w:val="00866C1E"/>
    <w:rsid w:val="00866E80"/>
    <w:rsid w:val="0086729E"/>
    <w:rsid w:val="00867545"/>
    <w:rsid w:val="008706D7"/>
    <w:rsid w:val="008714D5"/>
    <w:rsid w:val="0087505C"/>
    <w:rsid w:val="00876731"/>
    <w:rsid w:val="00884692"/>
    <w:rsid w:val="00885D45"/>
    <w:rsid w:val="00887B8E"/>
    <w:rsid w:val="00890A52"/>
    <w:rsid w:val="00890B8B"/>
    <w:rsid w:val="0089267D"/>
    <w:rsid w:val="00893832"/>
    <w:rsid w:val="00893D4B"/>
    <w:rsid w:val="00894648"/>
    <w:rsid w:val="008A0122"/>
    <w:rsid w:val="008A18B1"/>
    <w:rsid w:val="008A21DA"/>
    <w:rsid w:val="008A2809"/>
    <w:rsid w:val="008A6137"/>
    <w:rsid w:val="008B2CF4"/>
    <w:rsid w:val="008B3218"/>
    <w:rsid w:val="008B3DB3"/>
    <w:rsid w:val="008B44B7"/>
    <w:rsid w:val="008B7B85"/>
    <w:rsid w:val="008C327B"/>
    <w:rsid w:val="008C7323"/>
    <w:rsid w:val="008D0933"/>
    <w:rsid w:val="008D3E57"/>
    <w:rsid w:val="008D3F69"/>
    <w:rsid w:val="008D4223"/>
    <w:rsid w:val="008D663E"/>
    <w:rsid w:val="008D7F1F"/>
    <w:rsid w:val="008E0199"/>
    <w:rsid w:val="008E1494"/>
    <w:rsid w:val="008E1D05"/>
    <w:rsid w:val="008E286A"/>
    <w:rsid w:val="008E4E73"/>
    <w:rsid w:val="008E6DC1"/>
    <w:rsid w:val="008F2FD0"/>
    <w:rsid w:val="008F53D7"/>
    <w:rsid w:val="008F6CB2"/>
    <w:rsid w:val="008F6E0E"/>
    <w:rsid w:val="008F6FD9"/>
    <w:rsid w:val="00907A01"/>
    <w:rsid w:val="00910B1E"/>
    <w:rsid w:val="009115DE"/>
    <w:rsid w:val="00911D04"/>
    <w:rsid w:val="0091270F"/>
    <w:rsid w:val="0091364D"/>
    <w:rsid w:val="00914DCD"/>
    <w:rsid w:val="00917FCB"/>
    <w:rsid w:val="00920526"/>
    <w:rsid w:val="00921B8F"/>
    <w:rsid w:val="009276D2"/>
    <w:rsid w:val="00931E33"/>
    <w:rsid w:val="0093391B"/>
    <w:rsid w:val="00934030"/>
    <w:rsid w:val="00935C8F"/>
    <w:rsid w:val="00941689"/>
    <w:rsid w:val="00941E4D"/>
    <w:rsid w:val="009424AA"/>
    <w:rsid w:val="00944F74"/>
    <w:rsid w:val="00945576"/>
    <w:rsid w:val="00945F80"/>
    <w:rsid w:val="009466AD"/>
    <w:rsid w:val="009527AD"/>
    <w:rsid w:val="00953B52"/>
    <w:rsid w:val="00954F9A"/>
    <w:rsid w:val="00955357"/>
    <w:rsid w:val="009567AA"/>
    <w:rsid w:val="00962B88"/>
    <w:rsid w:val="009651BD"/>
    <w:rsid w:val="0096692B"/>
    <w:rsid w:val="00966F52"/>
    <w:rsid w:val="009672A2"/>
    <w:rsid w:val="009675FC"/>
    <w:rsid w:val="009676FD"/>
    <w:rsid w:val="00973CB2"/>
    <w:rsid w:val="009749F0"/>
    <w:rsid w:val="00976DE8"/>
    <w:rsid w:val="00976FF5"/>
    <w:rsid w:val="009802B3"/>
    <w:rsid w:val="00980F45"/>
    <w:rsid w:val="00981BC3"/>
    <w:rsid w:val="00981E4F"/>
    <w:rsid w:val="0098454E"/>
    <w:rsid w:val="00984879"/>
    <w:rsid w:val="009852D7"/>
    <w:rsid w:val="00990334"/>
    <w:rsid w:val="00990732"/>
    <w:rsid w:val="00990BB3"/>
    <w:rsid w:val="00990C30"/>
    <w:rsid w:val="00992EC9"/>
    <w:rsid w:val="0099606A"/>
    <w:rsid w:val="009977BF"/>
    <w:rsid w:val="00997ECD"/>
    <w:rsid w:val="009A0F32"/>
    <w:rsid w:val="009A1098"/>
    <w:rsid w:val="009A4ABA"/>
    <w:rsid w:val="009A6053"/>
    <w:rsid w:val="009A6B73"/>
    <w:rsid w:val="009A716C"/>
    <w:rsid w:val="009A7AC5"/>
    <w:rsid w:val="009B08BB"/>
    <w:rsid w:val="009B1954"/>
    <w:rsid w:val="009B3362"/>
    <w:rsid w:val="009B4ADE"/>
    <w:rsid w:val="009B5608"/>
    <w:rsid w:val="009B57C5"/>
    <w:rsid w:val="009B6660"/>
    <w:rsid w:val="009C12D7"/>
    <w:rsid w:val="009C1D25"/>
    <w:rsid w:val="009C3B36"/>
    <w:rsid w:val="009C590B"/>
    <w:rsid w:val="009C5E73"/>
    <w:rsid w:val="009C7891"/>
    <w:rsid w:val="009C7AE4"/>
    <w:rsid w:val="009D02D0"/>
    <w:rsid w:val="009D2252"/>
    <w:rsid w:val="009D2C02"/>
    <w:rsid w:val="009D43D1"/>
    <w:rsid w:val="009D450E"/>
    <w:rsid w:val="009D4797"/>
    <w:rsid w:val="009D6241"/>
    <w:rsid w:val="009E0859"/>
    <w:rsid w:val="009E0E2A"/>
    <w:rsid w:val="009E187B"/>
    <w:rsid w:val="009E1AAB"/>
    <w:rsid w:val="009E1DB9"/>
    <w:rsid w:val="009E71ED"/>
    <w:rsid w:val="009F031B"/>
    <w:rsid w:val="009F128C"/>
    <w:rsid w:val="009F26B0"/>
    <w:rsid w:val="009F2C2D"/>
    <w:rsid w:val="00A0182B"/>
    <w:rsid w:val="00A0453C"/>
    <w:rsid w:val="00A04D79"/>
    <w:rsid w:val="00A0519E"/>
    <w:rsid w:val="00A06DDF"/>
    <w:rsid w:val="00A07E6B"/>
    <w:rsid w:val="00A12316"/>
    <w:rsid w:val="00A1268A"/>
    <w:rsid w:val="00A134BC"/>
    <w:rsid w:val="00A13E3D"/>
    <w:rsid w:val="00A16DCD"/>
    <w:rsid w:val="00A21C86"/>
    <w:rsid w:val="00A2212F"/>
    <w:rsid w:val="00A23133"/>
    <w:rsid w:val="00A26B0D"/>
    <w:rsid w:val="00A26B61"/>
    <w:rsid w:val="00A26B87"/>
    <w:rsid w:val="00A271D5"/>
    <w:rsid w:val="00A2735B"/>
    <w:rsid w:val="00A27C1A"/>
    <w:rsid w:val="00A27F5D"/>
    <w:rsid w:val="00A31B8A"/>
    <w:rsid w:val="00A321B9"/>
    <w:rsid w:val="00A32825"/>
    <w:rsid w:val="00A32871"/>
    <w:rsid w:val="00A33FDF"/>
    <w:rsid w:val="00A345C9"/>
    <w:rsid w:val="00A3470A"/>
    <w:rsid w:val="00A34B5D"/>
    <w:rsid w:val="00A35633"/>
    <w:rsid w:val="00A406F1"/>
    <w:rsid w:val="00A42C80"/>
    <w:rsid w:val="00A43F0D"/>
    <w:rsid w:val="00A443E9"/>
    <w:rsid w:val="00A45E78"/>
    <w:rsid w:val="00A5109B"/>
    <w:rsid w:val="00A51C83"/>
    <w:rsid w:val="00A531C0"/>
    <w:rsid w:val="00A54B2A"/>
    <w:rsid w:val="00A54D6B"/>
    <w:rsid w:val="00A5745B"/>
    <w:rsid w:val="00A610E1"/>
    <w:rsid w:val="00A62B2A"/>
    <w:rsid w:val="00A64EFC"/>
    <w:rsid w:val="00A65187"/>
    <w:rsid w:val="00A66F8F"/>
    <w:rsid w:val="00A71FD2"/>
    <w:rsid w:val="00A730A0"/>
    <w:rsid w:val="00A828DD"/>
    <w:rsid w:val="00A83C6D"/>
    <w:rsid w:val="00A83CC3"/>
    <w:rsid w:val="00A842CA"/>
    <w:rsid w:val="00A84E24"/>
    <w:rsid w:val="00A87BC7"/>
    <w:rsid w:val="00A90914"/>
    <w:rsid w:val="00A911C4"/>
    <w:rsid w:val="00A95903"/>
    <w:rsid w:val="00AA027B"/>
    <w:rsid w:val="00AA0784"/>
    <w:rsid w:val="00AA2247"/>
    <w:rsid w:val="00AA2C11"/>
    <w:rsid w:val="00AA3333"/>
    <w:rsid w:val="00AA5B7D"/>
    <w:rsid w:val="00AA6E6C"/>
    <w:rsid w:val="00AB0B37"/>
    <w:rsid w:val="00AB19FD"/>
    <w:rsid w:val="00AB431B"/>
    <w:rsid w:val="00AB53E9"/>
    <w:rsid w:val="00AC025E"/>
    <w:rsid w:val="00AC0EF7"/>
    <w:rsid w:val="00AC10E2"/>
    <w:rsid w:val="00AC2DE5"/>
    <w:rsid w:val="00AC424D"/>
    <w:rsid w:val="00AC6711"/>
    <w:rsid w:val="00AC6C00"/>
    <w:rsid w:val="00AC711F"/>
    <w:rsid w:val="00AD0A9C"/>
    <w:rsid w:val="00AD0C17"/>
    <w:rsid w:val="00AD2B28"/>
    <w:rsid w:val="00AD2DF9"/>
    <w:rsid w:val="00AD5DE8"/>
    <w:rsid w:val="00AE01F2"/>
    <w:rsid w:val="00AE08D7"/>
    <w:rsid w:val="00AE1E8E"/>
    <w:rsid w:val="00AE2A05"/>
    <w:rsid w:val="00AE4C9A"/>
    <w:rsid w:val="00AE58CA"/>
    <w:rsid w:val="00AE7634"/>
    <w:rsid w:val="00AF6002"/>
    <w:rsid w:val="00AF6533"/>
    <w:rsid w:val="00AF6A4E"/>
    <w:rsid w:val="00AF77DA"/>
    <w:rsid w:val="00B07371"/>
    <w:rsid w:val="00B14A97"/>
    <w:rsid w:val="00B15B62"/>
    <w:rsid w:val="00B17954"/>
    <w:rsid w:val="00B20421"/>
    <w:rsid w:val="00B205A9"/>
    <w:rsid w:val="00B21FD9"/>
    <w:rsid w:val="00B227B5"/>
    <w:rsid w:val="00B23FD1"/>
    <w:rsid w:val="00B24336"/>
    <w:rsid w:val="00B254A6"/>
    <w:rsid w:val="00B3011E"/>
    <w:rsid w:val="00B329CF"/>
    <w:rsid w:val="00B32E30"/>
    <w:rsid w:val="00B34304"/>
    <w:rsid w:val="00B3475C"/>
    <w:rsid w:val="00B35C24"/>
    <w:rsid w:val="00B36FE5"/>
    <w:rsid w:val="00B400DC"/>
    <w:rsid w:val="00B4010A"/>
    <w:rsid w:val="00B476ED"/>
    <w:rsid w:val="00B4771C"/>
    <w:rsid w:val="00B50942"/>
    <w:rsid w:val="00B50C48"/>
    <w:rsid w:val="00B50FE8"/>
    <w:rsid w:val="00B53A5C"/>
    <w:rsid w:val="00B60CA3"/>
    <w:rsid w:val="00B61010"/>
    <w:rsid w:val="00B61058"/>
    <w:rsid w:val="00B611B6"/>
    <w:rsid w:val="00B626FF"/>
    <w:rsid w:val="00B662FE"/>
    <w:rsid w:val="00B67F35"/>
    <w:rsid w:val="00B70718"/>
    <w:rsid w:val="00B70980"/>
    <w:rsid w:val="00B70983"/>
    <w:rsid w:val="00B776DB"/>
    <w:rsid w:val="00B77FD4"/>
    <w:rsid w:val="00B80690"/>
    <w:rsid w:val="00B8171D"/>
    <w:rsid w:val="00B83AD3"/>
    <w:rsid w:val="00B8424A"/>
    <w:rsid w:val="00B8494A"/>
    <w:rsid w:val="00B85FF2"/>
    <w:rsid w:val="00B8633A"/>
    <w:rsid w:val="00B90A22"/>
    <w:rsid w:val="00B91657"/>
    <w:rsid w:val="00B96545"/>
    <w:rsid w:val="00B96D1F"/>
    <w:rsid w:val="00BA0A48"/>
    <w:rsid w:val="00BA1003"/>
    <w:rsid w:val="00BA26E8"/>
    <w:rsid w:val="00BA4ADF"/>
    <w:rsid w:val="00BA53D0"/>
    <w:rsid w:val="00BA5805"/>
    <w:rsid w:val="00BA786D"/>
    <w:rsid w:val="00BB5ACF"/>
    <w:rsid w:val="00BB6201"/>
    <w:rsid w:val="00BB65E1"/>
    <w:rsid w:val="00BB6787"/>
    <w:rsid w:val="00BC0639"/>
    <w:rsid w:val="00BC5BAC"/>
    <w:rsid w:val="00BD1B30"/>
    <w:rsid w:val="00BD3215"/>
    <w:rsid w:val="00BD544E"/>
    <w:rsid w:val="00BD6E39"/>
    <w:rsid w:val="00BD754F"/>
    <w:rsid w:val="00BE4816"/>
    <w:rsid w:val="00BE546A"/>
    <w:rsid w:val="00BE643B"/>
    <w:rsid w:val="00BE7B03"/>
    <w:rsid w:val="00BF0C46"/>
    <w:rsid w:val="00BF2F1E"/>
    <w:rsid w:val="00BF2F7F"/>
    <w:rsid w:val="00BF318A"/>
    <w:rsid w:val="00BF3DA4"/>
    <w:rsid w:val="00BF697A"/>
    <w:rsid w:val="00C0105A"/>
    <w:rsid w:val="00C027A1"/>
    <w:rsid w:val="00C040E3"/>
    <w:rsid w:val="00C05FD0"/>
    <w:rsid w:val="00C108C2"/>
    <w:rsid w:val="00C10A96"/>
    <w:rsid w:val="00C12D2A"/>
    <w:rsid w:val="00C1474D"/>
    <w:rsid w:val="00C22B7C"/>
    <w:rsid w:val="00C27A40"/>
    <w:rsid w:val="00C32F4A"/>
    <w:rsid w:val="00C35C44"/>
    <w:rsid w:val="00C3644A"/>
    <w:rsid w:val="00C37A3A"/>
    <w:rsid w:val="00C417D7"/>
    <w:rsid w:val="00C422FB"/>
    <w:rsid w:val="00C441E1"/>
    <w:rsid w:val="00C445F3"/>
    <w:rsid w:val="00C45176"/>
    <w:rsid w:val="00C46B37"/>
    <w:rsid w:val="00C470DF"/>
    <w:rsid w:val="00C505A2"/>
    <w:rsid w:val="00C50A3A"/>
    <w:rsid w:val="00C5270C"/>
    <w:rsid w:val="00C55577"/>
    <w:rsid w:val="00C6175C"/>
    <w:rsid w:val="00C6413B"/>
    <w:rsid w:val="00C669AF"/>
    <w:rsid w:val="00C674C4"/>
    <w:rsid w:val="00C67702"/>
    <w:rsid w:val="00C67823"/>
    <w:rsid w:val="00C67A0B"/>
    <w:rsid w:val="00C67BA6"/>
    <w:rsid w:val="00C70EE2"/>
    <w:rsid w:val="00C710BB"/>
    <w:rsid w:val="00C729A8"/>
    <w:rsid w:val="00C736A1"/>
    <w:rsid w:val="00C737B7"/>
    <w:rsid w:val="00C756F3"/>
    <w:rsid w:val="00C770C2"/>
    <w:rsid w:val="00C77846"/>
    <w:rsid w:val="00C800BA"/>
    <w:rsid w:val="00C81494"/>
    <w:rsid w:val="00C835DF"/>
    <w:rsid w:val="00C8602D"/>
    <w:rsid w:val="00C860C3"/>
    <w:rsid w:val="00C86D6A"/>
    <w:rsid w:val="00C91476"/>
    <w:rsid w:val="00C93264"/>
    <w:rsid w:val="00C93FCB"/>
    <w:rsid w:val="00C95F5F"/>
    <w:rsid w:val="00CA061A"/>
    <w:rsid w:val="00CA1F21"/>
    <w:rsid w:val="00CA4B56"/>
    <w:rsid w:val="00CB0D33"/>
    <w:rsid w:val="00CB39D4"/>
    <w:rsid w:val="00CB3C42"/>
    <w:rsid w:val="00CB4365"/>
    <w:rsid w:val="00CB4E28"/>
    <w:rsid w:val="00CB6604"/>
    <w:rsid w:val="00CC1328"/>
    <w:rsid w:val="00CC62DA"/>
    <w:rsid w:val="00CC72E9"/>
    <w:rsid w:val="00CD04C0"/>
    <w:rsid w:val="00CD60E3"/>
    <w:rsid w:val="00CD6655"/>
    <w:rsid w:val="00CD66C1"/>
    <w:rsid w:val="00CE27AA"/>
    <w:rsid w:val="00CE2EF3"/>
    <w:rsid w:val="00CE325E"/>
    <w:rsid w:val="00CE3794"/>
    <w:rsid w:val="00CE5037"/>
    <w:rsid w:val="00CE70D7"/>
    <w:rsid w:val="00CE77B7"/>
    <w:rsid w:val="00CF01C6"/>
    <w:rsid w:val="00CF046E"/>
    <w:rsid w:val="00CF07E7"/>
    <w:rsid w:val="00CF1CEC"/>
    <w:rsid w:val="00CF2171"/>
    <w:rsid w:val="00CF62EB"/>
    <w:rsid w:val="00CF72CC"/>
    <w:rsid w:val="00CF7DED"/>
    <w:rsid w:val="00D032D2"/>
    <w:rsid w:val="00D061E6"/>
    <w:rsid w:val="00D06699"/>
    <w:rsid w:val="00D06905"/>
    <w:rsid w:val="00D07564"/>
    <w:rsid w:val="00D1136E"/>
    <w:rsid w:val="00D1279E"/>
    <w:rsid w:val="00D13A72"/>
    <w:rsid w:val="00D20224"/>
    <w:rsid w:val="00D2026B"/>
    <w:rsid w:val="00D234BF"/>
    <w:rsid w:val="00D238DD"/>
    <w:rsid w:val="00D265F2"/>
    <w:rsid w:val="00D27622"/>
    <w:rsid w:val="00D30097"/>
    <w:rsid w:val="00D30F3E"/>
    <w:rsid w:val="00D31EC4"/>
    <w:rsid w:val="00D357A6"/>
    <w:rsid w:val="00D35D15"/>
    <w:rsid w:val="00D36881"/>
    <w:rsid w:val="00D378C3"/>
    <w:rsid w:val="00D402F4"/>
    <w:rsid w:val="00D40AA6"/>
    <w:rsid w:val="00D42576"/>
    <w:rsid w:val="00D428E6"/>
    <w:rsid w:val="00D4514A"/>
    <w:rsid w:val="00D45D33"/>
    <w:rsid w:val="00D50BDD"/>
    <w:rsid w:val="00D5195B"/>
    <w:rsid w:val="00D532A4"/>
    <w:rsid w:val="00D56856"/>
    <w:rsid w:val="00D61123"/>
    <w:rsid w:val="00D61C7B"/>
    <w:rsid w:val="00D622B3"/>
    <w:rsid w:val="00D62F73"/>
    <w:rsid w:val="00D62FF1"/>
    <w:rsid w:val="00D63AD8"/>
    <w:rsid w:val="00D645CB"/>
    <w:rsid w:val="00D64A00"/>
    <w:rsid w:val="00D65BEB"/>
    <w:rsid w:val="00D671DB"/>
    <w:rsid w:val="00D736E8"/>
    <w:rsid w:val="00D7519F"/>
    <w:rsid w:val="00D84AC9"/>
    <w:rsid w:val="00D85808"/>
    <w:rsid w:val="00D862D3"/>
    <w:rsid w:val="00D86C1D"/>
    <w:rsid w:val="00D86F0B"/>
    <w:rsid w:val="00D8721D"/>
    <w:rsid w:val="00D9108A"/>
    <w:rsid w:val="00D94079"/>
    <w:rsid w:val="00D94D74"/>
    <w:rsid w:val="00D95822"/>
    <w:rsid w:val="00D96C1E"/>
    <w:rsid w:val="00DA226C"/>
    <w:rsid w:val="00DA5483"/>
    <w:rsid w:val="00DA6295"/>
    <w:rsid w:val="00DA6647"/>
    <w:rsid w:val="00DA66E7"/>
    <w:rsid w:val="00DA79E5"/>
    <w:rsid w:val="00DB230E"/>
    <w:rsid w:val="00DC0E44"/>
    <w:rsid w:val="00DC0E4F"/>
    <w:rsid w:val="00DC36A7"/>
    <w:rsid w:val="00DC757B"/>
    <w:rsid w:val="00DD03E1"/>
    <w:rsid w:val="00DD18E6"/>
    <w:rsid w:val="00DD2D5D"/>
    <w:rsid w:val="00DD2EEE"/>
    <w:rsid w:val="00DD3073"/>
    <w:rsid w:val="00DD4DEC"/>
    <w:rsid w:val="00DD519A"/>
    <w:rsid w:val="00DD7375"/>
    <w:rsid w:val="00DE1097"/>
    <w:rsid w:val="00DE2E6B"/>
    <w:rsid w:val="00DE34BE"/>
    <w:rsid w:val="00DE3DB3"/>
    <w:rsid w:val="00DE4A7C"/>
    <w:rsid w:val="00DE7B25"/>
    <w:rsid w:val="00DF20DB"/>
    <w:rsid w:val="00DF489D"/>
    <w:rsid w:val="00DF4CE3"/>
    <w:rsid w:val="00DF5068"/>
    <w:rsid w:val="00E01E4A"/>
    <w:rsid w:val="00E01EB0"/>
    <w:rsid w:val="00E07144"/>
    <w:rsid w:val="00E1000B"/>
    <w:rsid w:val="00E101EF"/>
    <w:rsid w:val="00E1061B"/>
    <w:rsid w:val="00E12285"/>
    <w:rsid w:val="00E14AFC"/>
    <w:rsid w:val="00E1516F"/>
    <w:rsid w:val="00E15254"/>
    <w:rsid w:val="00E1558E"/>
    <w:rsid w:val="00E159F3"/>
    <w:rsid w:val="00E205F6"/>
    <w:rsid w:val="00E21B19"/>
    <w:rsid w:val="00E238C3"/>
    <w:rsid w:val="00E23EE5"/>
    <w:rsid w:val="00E26EB1"/>
    <w:rsid w:val="00E30BA7"/>
    <w:rsid w:val="00E33727"/>
    <w:rsid w:val="00E34DB7"/>
    <w:rsid w:val="00E370A0"/>
    <w:rsid w:val="00E41F20"/>
    <w:rsid w:val="00E42386"/>
    <w:rsid w:val="00E435C0"/>
    <w:rsid w:val="00E43FD1"/>
    <w:rsid w:val="00E46AB2"/>
    <w:rsid w:val="00E4725D"/>
    <w:rsid w:val="00E475D6"/>
    <w:rsid w:val="00E50227"/>
    <w:rsid w:val="00E5037B"/>
    <w:rsid w:val="00E5534B"/>
    <w:rsid w:val="00E55E5F"/>
    <w:rsid w:val="00E61688"/>
    <w:rsid w:val="00E622E9"/>
    <w:rsid w:val="00E629B1"/>
    <w:rsid w:val="00E62D62"/>
    <w:rsid w:val="00E6388A"/>
    <w:rsid w:val="00E64814"/>
    <w:rsid w:val="00E64CEE"/>
    <w:rsid w:val="00E6586E"/>
    <w:rsid w:val="00E752A8"/>
    <w:rsid w:val="00E75551"/>
    <w:rsid w:val="00E76FF7"/>
    <w:rsid w:val="00E814AA"/>
    <w:rsid w:val="00E8151C"/>
    <w:rsid w:val="00E861BD"/>
    <w:rsid w:val="00E86CFB"/>
    <w:rsid w:val="00E87731"/>
    <w:rsid w:val="00E94D78"/>
    <w:rsid w:val="00E95654"/>
    <w:rsid w:val="00E95EF9"/>
    <w:rsid w:val="00E96D09"/>
    <w:rsid w:val="00EA0956"/>
    <w:rsid w:val="00EA23ED"/>
    <w:rsid w:val="00EA382D"/>
    <w:rsid w:val="00EA4674"/>
    <w:rsid w:val="00EA6438"/>
    <w:rsid w:val="00EB58BC"/>
    <w:rsid w:val="00EB7B2B"/>
    <w:rsid w:val="00EB7CC2"/>
    <w:rsid w:val="00EC01E3"/>
    <w:rsid w:val="00EC4AD4"/>
    <w:rsid w:val="00EC5041"/>
    <w:rsid w:val="00EC52A6"/>
    <w:rsid w:val="00EC53B6"/>
    <w:rsid w:val="00ED0410"/>
    <w:rsid w:val="00ED6E3B"/>
    <w:rsid w:val="00EE0360"/>
    <w:rsid w:val="00EE0583"/>
    <w:rsid w:val="00EE1B16"/>
    <w:rsid w:val="00EE322F"/>
    <w:rsid w:val="00EE680E"/>
    <w:rsid w:val="00EF05DB"/>
    <w:rsid w:val="00EF0C61"/>
    <w:rsid w:val="00EF3238"/>
    <w:rsid w:val="00EF6FCF"/>
    <w:rsid w:val="00EF7880"/>
    <w:rsid w:val="00F00D00"/>
    <w:rsid w:val="00F03783"/>
    <w:rsid w:val="00F0441A"/>
    <w:rsid w:val="00F04BD6"/>
    <w:rsid w:val="00F068DF"/>
    <w:rsid w:val="00F10FF4"/>
    <w:rsid w:val="00F13B2B"/>
    <w:rsid w:val="00F14848"/>
    <w:rsid w:val="00F15B68"/>
    <w:rsid w:val="00F16898"/>
    <w:rsid w:val="00F177B7"/>
    <w:rsid w:val="00F17DDB"/>
    <w:rsid w:val="00F17F69"/>
    <w:rsid w:val="00F228EF"/>
    <w:rsid w:val="00F2422C"/>
    <w:rsid w:val="00F2451C"/>
    <w:rsid w:val="00F25674"/>
    <w:rsid w:val="00F26C41"/>
    <w:rsid w:val="00F2739A"/>
    <w:rsid w:val="00F2789D"/>
    <w:rsid w:val="00F320EE"/>
    <w:rsid w:val="00F32FC5"/>
    <w:rsid w:val="00F334E6"/>
    <w:rsid w:val="00F3434A"/>
    <w:rsid w:val="00F34A3F"/>
    <w:rsid w:val="00F3527F"/>
    <w:rsid w:val="00F35931"/>
    <w:rsid w:val="00F36298"/>
    <w:rsid w:val="00F4003C"/>
    <w:rsid w:val="00F40878"/>
    <w:rsid w:val="00F4182D"/>
    <w:rsid w:val="00F41C72"/>
    <w:rsid w:val="00F456EB"/>
    <w:rsid w:val="00F459D3"/>
    <w:rsid w:val="00F45B5D"/>
    <w:rsid w:val="00F461FC"/>
    <w:rsid w:val="00F50E05"/>
    <w:rsid w:val="00F50E7F"/>
    <w:rsid w:val="00F51CA2"/>
    <w:rsid w:val="00F52399"/>
    <w:rsid w:val="00F52FE5"/>
    <w:rsid w:val="00F556A2"/>
    <w:rsid w:val="00F5749E"/>
    <w:rsid w:val="00F5780C"/>
    <w:rsid w:val="00F601EC"/>
    <w:rsid w:val="00F6023F"/>
    <w:rsid w:val="00F6051A"/>
    <w:rsid w:val="00F60925"/>
    <w:rsid w:val="00F60DD0"/>
    <w:rsid w:val="00F633BD"/>
    <w:rsid w:val="00F65A1E"/>
    <w:rsid w:val="00F70492"/>
    <w:rsid w:val="00F71E50"/>
    <w:rsid w:val="00F74813"/>
    <w:rsid w:val="00F752FD"/>
    <w:rsid w:val="00F8190A"/>
    <w:rsid w:val="00F81A3B"/>
    <w:rsid w:val="00F82297"/>
    <w:rsid w:val="00F82D1B"/>
    <w:rsid w:val="00F82F2E"/>
    <w:rsid w:val="00F8376E"/>
    <w:rsid w:val="00F8489C"/>
    <w:rsid w:val="00F85E66"/>
    <w:rsid w:val="00F87714"/>
    <w:rsid w:val="00F87DED"/>
    <w:rsid w:val="00F90630"/>
    <w:rsid w:val="00F9110B"/>
    <w:rsid w:val="00F91952"/>
    <w:rsid w:val="00F93293"/>
    <w:rsid w:val="00F94B1D"/>
    <w:rsid w:val="00FA20FA"/>
    <w:rsid w:val="00FA35A2"/>
    <w:rsid w:val="00FA5250"/>
    <w:rsid w:val="00FA5548"/>
    <w:rsid w:val="00FB34A6"/>
    <w:rsid w:val="00FB7F61"/>
    <w:rsid w:val="00FC075C"/>
    <w:rsid w:val="00FC1FEC"/>
    <w:rsid w:val="00FC30ED"/>
    <w:rsid w:val="00FC3BCE"/>
    <w:rsid w:val="00FC4564"/>
    <w:rsid w:val="00FC4951"/>
    <w:rsid w:val="00FC4AF0"/>
    <w:rsid w:val="00FD08A5"/>
    <w:rsid w:val="00FD0E3C"/>
    <w:rsid w:val="00FD1C70"/>
    <w:rsid w:val="00FD2DB7"/>
    <w:rsid w:val="00FD4644"/>
    <w:rsid w:val="00FD7D2B"/>
    <w:rsid w:val="00FE314B"/>
    <w:rsid w:val="00FE3D95"/>
    <w:rsid w:val="00FE78FC"/>
    <w:rsid w:val="00FF104D"/>
    <w:rsid w:val="00FF3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8FD39"/>
  <w15:docId w15:val="{98C2C4AB-9040-4CA9-A50F-507F44B5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C17"/>
    <w:pPr>
      <w:spacing w:after="0" w:line="240" w:lineRule="auto"/>
    </w:pPr>
    <w:rPr>
      <w:rFonts w:ascii="Times New Roman" w:hAnsi="Times New Roman" w:cs="Times New Roman"/>
      <w:sz w:val="24"/>
      <w:szCs w:val="24"/>
    </w:rPr>
  </w:style>
  <w:style w:type="paragraph" w:styleId="Heading1">
    <w:name w:val="heading 1"/>
    <w:aliases w:val="1,h1"/>
    <w:basedOn w:val="Normal"/>
    <w:next w:val="BodyText"/>
    <w:link w:val="Heading1Char"/>
    <w:qFormat/>
    <w:rsid w:val="00D94079"/>
    <w:pPr>
      <w:keepNext/>
      <w:numPr>
        <w:numId w:val="30"/>
      </w:numPr>
      <w:spacing w:after="240"/>
      <w:jc w:val="center"/>
      <w:outlineLvl w:val="0"/>
    </w:pPr>
    <w:rPr>
      <w:rFonts w:eastAsia="Times New Roman"/>
      <w:b/>
      <w:kern w:val="28"/>
      <w:szCs w:val="20"/>
    </w:rPr>
  </w:style>
  <w:style w:type="paragraph" w:styleId="Heading2">
    <w:name w:val="heading 2"/>
    <w:aliases w:val="2,h2"/>
    <w:basedOn w:val="Normal"/>
    <w:next w:val="BodyText"/>
    <w:link w:val="Heading2Char"/>
    <w:qFormat/>
    <w:rsid w:val="00D94079"/>
    <w:pPr>
      <w:numPr>
        <w:ilvl w:val="1"/>
        <w:numId w:val="30"/>
      </w:numPr>
      <w:spacing w:after="240"/>
      <w:jc w:val="both"/>
      <w:outlineLvl w:val="1"/>
    </w:pPr>
    <w:rPr>
      <w:rFonts w:eastAsia="Times New Roman"/>
      <w:szCs w:val="20"/>
    </w:rPr>
  </w:style>
  <w:style w:type="paragraph" w:styleId="Heading3">
    <w:name w:val="heading 3"/>
    <w:aliases w:val="3"/>
    <w:basedOn w:val="Normal"/>
    <w:next w:val="BodyText"/>
    <w:link w:val="Heading3Char"/>
    <w:qFormat/>
    <w:rsid w:val="00D94079"/>
    <w:pPr>
      <w:numPr>
        <w:ilvl w:val="2"/>
        <w:numId w:val="30"/>
      </w:numPr>
      <w:spacing w:after="240"/>
      <w:jc w:val="both"/>
      <w:outlineLvl w:val="2"/>
    </w:pPr>
    <w:rPr>
      <w:rFonts w:eastAsia="Times New Roman"/>
      <w:szCs w:val="20"/>
    </w:rPr>
  </w:style>
  <w:style w:type="paragraph" w:styleId="Heading4">
    <w:name w:val="heading 4"/>
    <w:aliases w:val="4,h4"/>
    <w:basedOn w:val="Normal"/>
    <w:next w:val="BodyText"/>
    <w:link w:val="Heading4Char"/>
    <w:qFormat/>
    <w:rsid w:val="00D94079"/>
    <w:pPr>
      <w:numPr>
        <w:ilvl w:val="3"/>
        <w:numId w:val="30"/>
      </w:numPr>
      <w:spacing w:after="240"/>
      <w:jc w:val="both"/>
      <w:outlineLvl w:val="3"/>
    </w:pPr>
    <w:rPr>
      <w:rFonts w:eastAsia="Times New Roman"/>
      <w:szCs w:val="20"/>
    </w:rPr>
  </w:style>
  <w:style w:type="paragraph" w:styleId="Heading5">
    <w:name w:val="heading 5"/>
    <w:aliases w:val="h5"/>
    <w:basedOn w:val="Normal"/>
    <w:next w:val="BodyText"/>
    <w:link w:val="Heading5Char"/>
    <w:qFormat/>
    <w:rsid w:val="00D94079"/>
    <w:pPr>
      <w:numPr>
        <w:ilvl w:val="4"/>
        <w:numId w:val="30"/>
      </w:numPr>
      <w:spacing w:after="240"/>
      <w:jc w:val="both"/>
      <w:outlineLvl w:val="4"/>
    </w:pPr>
    <w:rPr>
      <w:rFonts w:eastAsia="Times New Roman"/>
      <w:szCs w:val="20"/>
    </w:rPr>
  </w:style>
  <w:style w:type="paragraph" w:styleId="Heading6">
    <w:name w:val="heading 6"/>
    <w:aliases w:val="h6"/>
    <w:basedOn w:val="Normal"/>
    <w:next w:val="BodyText"/>
    <w:link w:val="Heading6Char"/>
    <w:qFormat/>
    <w:rsid w:val="00D94079"/>
    <w:pPr>
      <w:numPr>
        <w:ilvl w:val="5"/>
        <w:numId w:val="30"/>
      </w:numPr>
      <w:spacing w:after="220"/>
      <w:outlineLvl w:val="5"/>
    </w:pPr>
    <w:rPr>
      <w:rFonts w:eastAsia="Times New Roman"/>
      <w:i/>
      <w:sz w:val="22"/>
      <w:szCs w:val="20"/>
    </w:rPr>
  </w:style>
  <w:style w:type="paragraph" w:styleId="Heading7">
    <w:name w:val="heading 7"/>
    <w:aliases w:val="Simple Arabic Numbers,h7"/>
    <w:basedOn w:val="Normal"/>
    <w:next w:val="BodyText"/>
    <w:link w:val="Heading7Char"/>
    <w:qFormat/>
    <w:rsid w:val="00D94079"/>
    <w:pPr>
      <w:numPr>
        <w:ilvl w:val="6"/>
        <w:numId w:val="30"/>
      </w:numPr>
      <w:spacing w:after="200"/>
      <w:outlineLvl w:val="6"/>
    </w:pPr>
    <w:rPr>
      <w:rFonts w:eastAsia="Times New Roman"/>
      <w:sz w:val="20"/>
      <w:szCs w:val="20"/>
    </w:rPr>
  </w:style>
  <w:style w:type="paragraph" w:styleId="Heading8">
    <w:name w:val="heading 8"/>
    <w:aliases w:val="Simple alpha numbers,h8"/>
    <w:basedOn w:val="Normal"/>
    <w:next w:val="BodyText"/>
    <w:link w:val="Heading8Char"/>
    <w:qFormat/>
    <w:rsid w:val="00D94079"/>
    <w:pPr>
      <w:numPr>
        <w:ilvl w:val="7"/>
        <w:numId w:val="30"/>
      </w:numPr>
      <w:spacing w:after="200"/>
      <w:outlineLvl w:val="7"/>
    </w:pPr>
    <w:rPr>
      <w:rFonts w:eastAsia="Times New Roman"/>
      <w:i/>
      <w:sz w:val="20"/>
      <w:szCs w:val="20"/>
    </w:rPr>
  </w:style>
  <w:style w:type="paragraph" w:styleId="Heading9">
    <w:name w:val="heading 9"/>
    <w:aliases w:val="Simple (sm) roman numbers,h9"/>
    <w:basedOn w:val="Normal"/>
    <w:next w:val="BodyText"/>
    <w:link w:val="Heading9Char"/>
    <w:qFormat/>
    <w:rsid w:val="00D94079"/>
    <w:pPr>
      <w:numPr>
        <w:ilvl w:val="8"/>
        <w:numId w:val="30"/>
      </w:numPr>
      <w:spacing w:after="200"/>
      <w:outlineLvl w:val="8"/>
    </w:pPr>
    <w:rPr>
      <w:rFonts w:eastAsia="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FF5"/>
    <w:pPr>
      <w:tabs>
        <w:tab w:val="center" w:pos="4680"/>
        <w:tab w:val="right" w:pos="9360"/>
      </w:tabs>
    </w:pPr>
  </w:style>
  <w:style w:type="character" w:customStyle="1" w:styleId="HeaderChar">
    <w:name w:val="Header Char"/>
    <w:basedOn w:val="DefaultParagraphFont"/>
    <w:link w:val="Header"/>
    <w:uiPriority w:val="99"/>
    <w:rsid w:val="00976FF5"/>
  </w:style>
  <w:style w:type="paragraph" w:styleId="Footer">
    <w:name w:val="footer"/>
    <w:basedOn w:val="Normal"/>
    <w:link w:val="FooterChar"/>
    <w:uiPriority w:val="99"/>
    <w:unhideWhenUsed/>
    <w:rsid w:val="00976FF5"/>
    <w:pPr>
      <w:tabs>
        <w:tab w:val="center" w:pos="4680"/>
        <w:tab w:val="right" w:pos="9360"/>
      </w:tabs>
    </w:pPr>
  </w:style>
  <w:style w:type="character" w:customStyle="1" w:styleId="FooterChar">
    <w:name w:val="Footer Char"/>
    <w:basedOn w:val="DefaultParagraphFont"/>
    <w:link w:val="Footer"/>
    <w:uiPriority w:val="99"/>
    <w:rsid w:val="00976FF5"/>
  </w:style>
  <w:style w:type="table" w:styleId="TableGrid">
    <w:name w:val="Table Grid"/>
    <w:basedOn w:val="TableNormal"/>
    <w:uiPriority w:val="39"/>
    <w:rsid w:val="00F34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DB9"/>
    <w:pPr>
      <w:ind w:left="720"/>
      <w:contextualSpacing/>
    </w:pPr>
  </w:style>
  <w:style w:type="character" w:styleId="CommentReference">
    <w:name w:val="annotation reference"/>
    <w:basedOn w:val="DefaultParagraphFont"/>
    <w:uiPriority w:val="99"/>
    <w:unhideWhenUsed/>
    <w:rsid w:val="004E6F64"/>
    <w:rPr>
      <w:sz w:val="18"/>
      <w:szCs w:val="18"/>
    </w:rPr>
  </w:style>
  <w:style w:type="paragraph" w:styleId="CommentText">
    <w:name w:val="annotation text"/>
    <w:basedOn w:val="Normal"/>
    <w:link w:val="CommentTextChar"/>
    <w:uiPriority w:val="99"/>
    <w:unhideWhenUsed/>
    <w:rsid w:val="004E6F64"/>
  </w:style>
  <w:style w:type="character" w:customStyle="1" w:styleId="CommentTextChar">
    <w:name w:val="Comment Text Char"/>
    <w:basedOn w:val="DefaultParagraphFont"/>
    <w:link w:val="CommentText"/>
    <w:uiPriority w:val="99"/>
    <w:rsid w:val="004E6F64"/>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E6F64"/>
    <w:rPr>
      <w:b/>
      <w:bCs/>
      <w:sz w:val="20"/>
      <w:szCs w:val="20"/>
    </w:rPr>
  </w:style>
  <w:style w:type="character" w:customStyle="1" w:styleId="CommentSubjectChar">
    <w:name w:val="Comment Subject Char"/>
    <w:basedOn w:val="CommentTextChar"/>
    <w:link w:val="CommentSubject"/>
    <w:uiPriority w:val="99"/>
    <w:semiHidden/>
    <w:rsid w:val="004E6F64"/>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E6F64"/>
    <w:rPr>
      <w:sz w:val="18"/>
      <w:szCs w:val="18"/>
    </w:rPr>
  </w:style>
  <w:style w:type="character" w:customStyle="1" w:styleId="BalloonTextChar">
    <w:name w:val="Balloon Text Char"/>
    <w:basedOn w:val="DefaultParagraphFont"/>
    <w:link w:val="BalloonText"/>
    <w:uiPriority w:val="99"/>
    <w:semiHidden/>
    <w:rsid w:val="004E6F64"/>
    <w:rPr>
      <w:rFonts w:ascii="Times New Roman" w:hAnsi="Times New Roman" w:cs="Times New Roman"/>
      <w:sz w:val="18"/>
      <w:szCs w:val="18"/>
    </w:rPr>
  </w:style>
  <w:style w:type="paragraph" w:styleId="Revision">
    <w:name w:val="Revision"/>
    <w:hidden/>
    <w:uiPriority w:val="99"/>
    <w:semiHidden/>
    <w:rsid w:val="003E42A6"/>
    <w:pPr>
      <w:spacing w:after="0" w:line="240" w:lineRule="auto"/>
    </w:pPr>
    <w:rPr>
      <w:rFonts w:ascii="Times New Roman" w:hAnsi="Times New Roman" w:cs="Times New Roman"/>
      <w:sz w:val="24"/>
      <w:szCs w:val="24"/>
    </w:rPr>
  </w:style>
  <w:style w:type="paragraph" w:customStyle="1" w:styleId="JeffsPreferredBullets">
    <w:name w:val="Jeff's Preferred Bullets"/>
    <w:basedOn w:val="Normal"/>
    <w:link w:val="JeffsPreferredBulletsChar"/>
    <w:qFormat/>
    <w:rsid w:val="00E87731"/>
    <w:pPr>
      <w:numPr>
        <w:numId w:val="27"/>
      </w:numPr>
      <w:spacing w:line="276" w:lineRule="auto"/>
      <w:contextualSpacing/>
    </w:pPr>
    <w:rPr>
      <w:rFonts w:ascii="Arial" w:eastAsia="Arial" w:hAnsi="Arial" w:cs="Arial"/>
      <w:color w:val="000000"/>
      <w:sz w:val="22"/>
      <w:szCs w:val="22"/>
    </w:rPr>
  </w:style>
  <w:style w:type="character" w:customStyle="1" w:styleId="JeffsPreferredBulletsChar">
    <w:name w:val="Jeff's Preferred Bullets Char"/>
    <w:link w:val="JeffsPreferredBullets"/>
    <w:rsid w:val="00E87731"/>
    <w:rPr>
      <w:rFonts w:ascii="Arial" w:eastAsia="Arial" w:hAnsi="Arial" w:cs="Arial"/>
      <w:color w:val="000000"/>
    </w:rPr>
  </w:style>
  <w:style w:type="character" w:customStyle="1" w:styleId="Heading1Char">
    <w:name w:val="Heading 1 Char"/>
    <w:aliases w:val="1 Char,h1 Char"/>
    <w:basedOn w:val="DefaultParagraphFont"/>
    <w:link w:val="Heading1"/>
    <w:rsid w:val="00D94079"/>
    <w:rPr>
      <w:rFonts w:ascii="Times New Roman" w:eastAsia="Times New Roman" w:hAnsi="Times New Roman" w:cs="Times New Roman"/>
      <w:b/>
      <w:kern w:val="28"/>
      <w:sz w:val="24"/>
      <w:szCs w:val="20"/>
    </w:rPr>
  </w:style>
  <w:style w:type="character" w:customStyle="1" w:styleId="Heading2Char">
    <w:name w:val="Heading 2 Char"/>
    <w:aliases w:val="2 Char,h2 Char"/>
    <w:basedOn w:val="DefaultParagraphFont"/>
    <w:link w:val="Heading2"/>
    <w:rsid w:val="00D94079"/>
    <w:rPr>
      <w:rFonts w:ascii="Times New Roman" w:eastAsia="Times New Roman" w:hAnsi="Times New Roman" w:cs="Times New Roman"/>
      <w:sz w:val="24"/>
      <w:szCs w:val="20"/>
    </w:rPr>
  </w:style>
  <w:style w:type="character" w:customStyle="1" w:styleId="Heading3Char">
    <w:name w:val="Heading 3 Char"/>
    <w:aliases w:val="3 Char"/>
    <w:basedOn w:val="DefaultParagraphFont"/>
    <w:link w:val="Heading3"/>
    <w:rsid w:val="00D94079"/>
    <w:rPr>
      <w:rFonts w:ascii="Times New Roman" w:eastAsia="Times New Roman" w:hAnsi="Times New Roman" w:cs="Times New Roman"/>
      <w:sz w:val="24"/>
      <w:szCs w:val="20"/>
    </w:rPr>
  </w:style>
  <w:style w:type="character" w:customStyle="1" w:styleId="Heading4Char">
    <w:name w:val="Heading 4 Char"/>
    <w:aliases w:val="4 Char,h4 Char"/>
    <w:basedOn w:val="DefaultParagraphFont"/>
    <w:link w:val="Heading4"/>
    <w:rsid w:val="00D94079"/>
    <w:rPr>
      <w:rFonts w:ascii="Times New Roman" w:eastAsia="Times New Roman" w:hAnsi="Times New Roman" w:cs="Times New Roman"/>
      <w:sz w:val="24"/>
      <w:szCs w:val="20"/>
    </w:rPr>
  </w:style>
  <w:style w:type="character" w:customStyle="1" w:styleId="Heading5Char">
    <w:name w:val="Heading 5 Char"/>
    <w:aliases w:val="h5 Char"/>
    <w:basedOn w:val="DefaultParagraphFont"/>
    <w:link w:val="Heading5"/>
    <w:rsid w:val="00D94079"/>
    <w:rPr>
      <w:rFonts w:ascii="Times New Roman" w:eastAsia="Times New Roman" w:hAnsi="Times New Roman" w:cs="Times New Roman"/>
      <w:sz w:val="24"/>
      <w:szCs w:val="20"/>
    </w:rPr>
  </w:style>
  <w:style w:type="character" w:customStyle="1" w:styleId="Heading6Char">
    <w:name w:val="Heading 6 Char"/>
    <w:aliases w:val="h6 Char"/>
    <w:basedOn w:val="DefaultParagraphFont"/>
    <w:link w:val="Heading6"/>
    <w:rsid w:val="00D94079"/>
    <w:rPr>
      <w:rFonts w:ascii="Times New Roman" w:eastAsia="Times New Roman" w:hAnsi="Times New Roman" w:cs="Times New Roman"/>
      <w:i/>
      <w:szCs w:val="20"/>
    </w:rPr>
  </w:style>
  <w:style w:type="character" w:customStyle="1" w:styleId="Heading7Char">
    <w:name w:val="Heading 7 Char"/>
    <w:aliases w:val="Simple Arabic Numbers Char,h7 Char"/>
    <w:basedOn w:val="DefaultParagraphFont"/>
    <w:link w:val="Heading7"/>
    <w:rsid w:val="00D94079"/>
    <w:rPr>
      <w:rFonts w:ascii="Times New Roman" w:eastAsia="Times New Roman" w:hAnsi="Times New Roman" w:cs="Times New Roman"/>
      <w:sz w:val="20"/>
      <w:szCs w:val="20"/>
    </w:rPr>
  </w:style>
  <w:style w:type="character" w:customStyle="1" w:styleId="Heading8Char">
    <w:name w:val="Heading 8 Char"/>
    <w:aliases w:val="Simple alpha numbers Char,h8 Char"/>
    <w:basedOn w:val="DefaultParagraphFont"/>
    <w:link w:val="Heading8"/>
    <w:rsid w:val="00D94079"/>
    <w:rPr>
      <w:rFonts w:ascii="Times New Roman" w:eastAsia="Times New Roman" w:hAnsi="Times New Roman" w:cs="Times New Roman"/>
      <w:i/>
      <w:sz w:val="20"/>
      <w:szCs w:val="20"/>
    </w:rPr>
  </w:style>
  <w:style w:type="character" w:customStyle="1" w:styleId="Heading9Char">
    <w:name w:val="Heading 9 Char"/>
    <w:aliases w:val="Simple (sm) roman numbers Char,h9 Char"/>
    <w:basedOn w:val="DefaultParagraphFont"/>
    <w:link w:val="Heading9"/>
    <w:rsid w:val="00D94079"/>
    <w:rPr>
      <w:rFonts w:ascii="Times New Roman" w:eastAsia="Times New Roman" w:hAnsi="Times New Roman" w:cs="Times New Roman"/>
      <w:b/>
      <w:i/>
      <w:sz w:val="20"/>
      <w:szCs w:val="20"/>
    </w:rPr>
  </w:style>
  <w:style w:type="paragraph" w:styleId="BodyText">
    <w:name w:val="Body Text"/>
    <w:basedOn w:val="Normal"/>
    <w:link w:val="BodyTextChar"/>
    <w:uiPriority w:val="99"/>
    <w:semiHidden/>
    <w:unhideWhenUsed/>
    <w:rsid w:val="00D94079"/>
    <w:pPr>
      <w:spacing w:after="120"/>
    </w:pPr>
  </w:style>
  <w:style w:type="character" w:customStyle="1" w:styleId="BodyTextChar">
    <w:name w:val="Body Text Char"/>
    <w:basedOn w:val="DefaultParagraphFont"/>
    <w:link w:val="BodyText"/>
    <w:uiPriority w:val="99"/>
    <w:semiHidden/>
    <w:rsid w:val="00D94079"/>
    <w:rPr>
      <w:rFonts w:ascii="Times New Roman" w:hAnsi="Times New Roman" w:cs="Times New Roman"/>
      <w:sz w:val="24"/>
      <w:szCs w:val="24"/>
    </w:rPr>
  </w:style>
  <w:style w:type="paragraph" w:customStyle="1" w:styleId="ArticleL1">
    <w:name w:val="Article_L1"/>
    <w:basedOn w:val="Normal"/>
    <w:next w:val="BodyText"/>
    <w:rsid w:val="007C67F7"/>
    <w:pPr>
      <w:keepNext/>
      <w:numPr>
        <w:numId w:val="31"/>
      </w:numPr>
      <w:spacing w:after="240"/>
      <w:jc w:val="center"/>
      <w:outlineLvl w:val="0"/>
    </w:pPr>
    <w:rPr>
      <w:rFonts w:eastAsia="Times New Roman"/>
      <w:b/>
      <w:caps/>
      <w:szCs w:val="20"/>
    </w:rPr>
  </w:style>
  <w:style w:type="paragraph" w:customStyle="1" w:styleId="ArticleL2">
    <w:name w:val="Article_L2"/>
    <w:basedOn w:val="ArticleL1"/>
    <w:next w:val="BodyText"/>
    <w:rsid w:val="007C67F7"/>
    <w:pPr>
      <w:keepNext w:val="0"/>
      <w:numPr>
        <w:ilvl w:val="1"/>
      </w:numPr>
      <w:jc w:val="both"/>
      <w:outlineLvl w:val="1"/>
    </w:pPr>
    <w:rPr>
      <w:b w:val="0"/>
      <w:caps w:val="0"/>
    </w:rPr>
  </w:style>
  <w:style w:type="paragraph" w:customStyle="1" w:styleId="ArticleL3">
    <w:name w:val="Article_L3"/>
    <w:basedOn w:val="ArticleL2"/>
    <w:next w:val="BodyText"/>
    <w:link w:val="ArticleL3Char"/>
    <w:rsid w:val="007C67F7"/>
    <w:pPr>
      <w:numPr>
        <w:ilvl w:val="2"/>
      </w:numPr>
      <w:outlineLvl w:val="2"/>
    </w:pPr>
  </w:style>
  <w:style w:type="character" w:customStyle="1" w:styleId="ArticleL3Char">
    <w:name w:val="Article_L3 Char"/>
    <w:basedOn w:val="DefaultParagraphFont"/>
    <w:link w:val="ArticleL3"/>
    <w:rsid w:val="007C67F7"/>
    <w:rPr>
      <w:rFonts w:ascii="Times New Roman" w:eastAsia="Times New Roman" w:hAnsi="Times New Roman" w:cs="Times New Roman"/>
      <w:sz w:val="24"/>
      <w:szCs w:val="20"/>
    </w:rPr>
  </w:style>
  <w:style w:type="paragraph" w:customStyle="1" w:styleId="ArticleL4">
    <w:name w:val="Article_L4"/>
    <w:basedOn w:val="ArticleL3"/>
    <w:next w:val="BodyText"/>
    <w:rsid w:val="007C67F7"/>
    <w:pPr>
      <w:numPr>
        <w:ilvl w:val="3"/>
      </w:numPr>
      <w:tabs>
        <w:tab w:val="clear" w:pos="2880"/>
      </w:tabs>
      <w:ind w:left="2880" w:hanging="360"/>
      <w:outlineLvl w:val="3"/>
    </w:pPr>
  </w:style>
  <w:style w:type="paragraph" w:customStyle="1" w:styleId="ArticleL5">
    <w:name w:val="Article_L5"/>
    <w:basedOn w:val="ArticleL4"/>
    <w:next w:val="BodyText"/>
    <w:rsid w:val="007C67F7"/>
    <w:pPr>
      <w:numPr>
        <w:ilvl w:val="4"/>
      </w:numPr>
      <w:tabs>
        <w:tab w:val="clear" w:pos="3600"/>
      </w:tabs>
      <w:ind w:left="3600" w:hanging="360"/>
      <w:outlineLvl w:val="4"/>
    </w:pPr>
  </w:style>
  <w:style w:type="paragraph" w:customStyle="1" w:styleId="ArticleL6">
    <w:name w:val="Article_L6"/>
    <w:basedOn w:val="ArticleL5"/>
    <w:next w:val="BodyText"/>
    <w:rsid w:val="007C67F7"/>
    <w:pPr>
      <w:numPr>
        <w:ilvl w:val="5"/>
      </w:numPr>
      <w:tabs>
        <w:tab w:val="clear" w:pos="4320"/>
      </w:tabs>
      <w:ind w:left="4320" w:hanging="180"/>
      <w:jc w:val="left"/>
      <w:outlineLvl w:val="5"/>
    </w:pPr>
  </w:style>
  <w:style w:type="paragraph" w:customStyle="1" w:styleId="ArticleL7">
    <w:name w:val="Article_L7"/>
    <w:basedOn w:val="ArticleL6"/>
    <w:next w:val="BodyText"/>
    <w:rsid w:val="007C67F7"/>
    <w:pPr>
      <w:numPr>
        <w:ilvl w:val="6"/>
      </w:numPr>
      <w:tabs>
        <w:tab w:val="clear" w:pos="5040"/>
      </w:tabs>
      <w:ind w:left="5040" w:hanging="360"/>
      <w:outlineLvl w:val="6"/>
    </w:pPr>
  </w:style>
  <w:style w:type="paragraph" w:customStyle="1" w:styleId="ArticleL8">
    <w:name w:val="Article_L8"/>
    <w:basedOn w:val="ArticleL7"/>
    <w:next w:val="BodyText"/>
    <w:rsid w:val="007C67F7"/>
    <w:pPr>
      <w:numPr>
        <w:ilvl w:val="7"/>
      </w:numPr>
      <w:tabs>
        <w:tab w:val="clear" w:pos="5760"/>
      </w:tabs>
      <w:ind w:left="5760" w:hanging="360"/>
      <w:outlineLvl w:val="7"/>
    </w:pPr>
  </w:style>
  <w:style w:type="paragraph" w:customStyle="1" w:styleId="ArticleL9">
    <w:name w:val="Article_L9"/>
    <w:basedOn w:val="ArticleL8"/>
    <w:next w:val="BodyText"/>
    <w:rsid w:val="007C67F7"/>
    <w:pPr>
      <w:numPr>
        <w:ilvl w:val="8"/>
      </w:numPr>
      <w:tabs>
        <w:tab w:val="clear" w:pos="6480"/>
      </w:tabs>
      <w:ind w:left="6480" w:hanging="180"/>
      <w:outlineLvl w:val="8"/>
    </w:pPr>
  </w:style>
  <w:style w:type="paragraph" w:styleId="FootnoteText">
    <w:name w:val="footnote text"/>
    <w:basedOn w:val="Normal"/>
    <w:link w:val="FootnoteTextChar"/>
    <w:unhideWhenUsed/>
    <w:rsid w:val="00F74813"/>
    <w:rPr>
      <w:sz w:val="20"/>
      <w:szCs w:val="20"/>
    </w:rPr>
  </w:style>
  <w:style w:type="character" w:customStyle="1" w:styleId="FootnoteTextChar">
    <w:name w:val="Footnote Text Char"/>
    <w:basedOn w:val="DefaultParagraphFont"/>
    <w:link w:val="FootnoteText"/>
    <w:uiPriority w:val="99"/>
    <w:rsid w:val="00F74813"/>
    <w:rPr>
      <w:rFonts w:ascii="Times New Roman" w:hAnsi="Times New Roman" w:cs="Times New Roman"/>
      <w:sz w:val="20"/>
      <w:szCs w:val="20"/>
    </w:rPr>
  </w:style>
  <w:style w:type="character" w:styleId="FootnoteReference">
    <w:name w:val="footnote reference"/>
    <w:aliases w:val="o"/>
    <w:basedOn w:val="DefaultParagraphFont"/>
    <w:unhideWhenUsed/>
    <w:rsid w:val="00F74813"/>
    <w:rPr>
      <w:vertAlign w:val="superscript"/>
    </w:rPr>
  </w:style>
  <w:style w:type="character" w:customStyle="1" w:styleId="apple-converted-space">
    <w:name w:val="apple-converted-space"/>
    <w:basedOn w:val="DefaultParagraphFont"/>
    <w:rsid w:val="00602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23234">
      <w:bodyDiv w:val="1"/>
      <w:marLeft w:val="0"/>
      <w:marRight w:val="0"/>
      <w:marTop w:val="0"/>
      <w:marBottom w:val="0"/>
      <w:divBdr>
        <w:top w:val="none" w:sz="0" w:space="0" w:color="auto"/>
        <w:left w:val="none" w:sz="0" w:space="0" w:color="auto"/>
        <w:bottom w:val="none" w:sz="0" w:space="0" w:color="auto"/>
        <w:right w:val="none" w:sz="0" w:space="0" w:color="auto"/>
      </w:divBdr>
    </w:div>
    <w:div w:id="221989226">
      <w:bodyDiv w:val="1"/>
      <w:marLeft w:val="0"/>
      <w:marRight w:val="0"/>
      <w:marTop w:val="0"/>
      <w:marBottom w:val="0"/>
      <w:divBdr>
        <w:top w:val="none" w:sz="0" w:space="0" w:color="auto"/>
        <w:left w:val="none" w:sz="0" w:space="0" w:color="auto"/>
        <w:bottom w:val="none" w:sz="0" w:space="0" w:color="auto"/>
        <w:right w:val="none" w:sz="0" w:space="0" w:color="auto"/>
      </w:divBdr>
    </w:div>
    <w:div w:id="341127816">
      <w:bodyDiv w:val="1"/>
      <w:marLeft w:val="0"/>
      <w:marRight w:val="0"/>
      <w:marTop w:val="0"/>
      <w:marBottom w:val="0"/>
      <w:divBdr>
        <w:top w:val="none" w:sz="0" w:space="0" w:color="auto"/>
        <w:left w:val="none" w:sz="0" w:space="0" w:color="auto"/>
        <w:bottom w:val="none" w:sz="0" w:space="0" w:color="auto"/>
        <w:right w:val="none" w:sz="0" w:space="0" w:color="auto"/>
      </w:divBdr>
    </w:div>
    <w:div w:id="417867591">
      <w:bodyDiv w:val="1"/>
      <w:marLeft w:val="0"/>
      <w:marRight w:val="0"/>
      <w:marTop w:val="0"/>
      <w:marBottom w:val="0"/>
      <w:divBdr>
        <w:top w:val="none" w:sz="0" w:space="0" w:color="auto"/>
        <w:left w:val="none" w:sz="0" w:space="0" w:color="auto"/>
        <w:bottom w:val="none" w:sz="0" w:space="0" w:color="auto"/>
        <w:right w:val="none" w:sz="0" w:space="0" w:color="auto"/>
      </w:divBdr>
      <w:divsChild>
        <w:div w:id="1284075338">
          <w:marLeft w:val="0"/>
          <w:marRight w:val="0"/>
          <w:marTop w:val="0"/>
          <w:marBottom w:val="0"/>
          <w:divBdr>
            <w:top w:val="none" w:sz="0" w:space="0" w:color="auto"/>
            <w:left w:val="none" w:sz="0" w:space="0" w:color="auto"/>
            <w:bottom w:val="none" w:sz="0" w:space="0" w:color="auto"/>
            <w:right w:val="none" w:sz="0" w:space="0" w:color="auto"/>
          </w:divBdr>
        </w:div>
        <w:div w:id="446654954">
          <w:marLeft w:val="0"/>
          <w:marRight w:val="0"/>
          <w:marTop w:val="0"/>
          <w:marBottom w:val="0"/>
          <w:divBdr>
            <w:top w:val="none" w:sz="0" w:space="0" w:color="auto"/>
            <w:left w:val="none" w:sz="0" w:space="0" w:color="auto"/>
            <w:bottom w:val="none" w:sz="0" w:space="0" w:color="auto"/>
            <w:right w:val="none" w:sz="0" w:space="0" w:color="auto"/>
          </w:divBdr>
        </w:div>
        <w:div w:id="1264917344">
          <w:marLeft w:val="0"/>
          <w:marRight w:val="0"/>
          <w:marTop w:val="0"/>
          <w:marBottom w:val="0"/>
          <w:divBdr>
            <w:top w:val="none" w:sz="0" w:space="0" w:color="auto"/>
            <w:left w:val="none" w:sz="0" w:space="0" w:color="auto"/>
            <w:bottom w:val="none" w:sz="0" w:space="0" w:color="auto"/>
            <w:right w:val="none" w:sz="0" w:space="0" w:color="auto"/>
          </w:divBdr>
        </w:div>
        <w:div w:id="1324553600">
          <w:marLeft w:val="0"/>
          <w:marRight w:val="0"/>
          <w:marTop w:val="0"/>
          <w:marBottom w:val="0"/>
          <w:divBdr>
            <w:top w:val="none" w:sz="0" w:space="0" w:color="auto"/>
            <w:left w:val="none" w:sz="0" w:space="0" w:color="auto"/>
            <w:bottom w:val="none" w:sz="0" w:space="0" w:color="auto"/>
            <w:right w:val="none" w:sz="0" w:space="0" w:color="auto"/>
          </w:divBdr>
        </w:div>
        <w:div w:id="1662155605">
          <w:marLeft w:val="0"/>
          <w:marRight w:val="0"/>
          <w:marTop w:val="0"/>
          <w:marBottom w:val="0"/>
          <w:divBdr>
            <w:top w:val="none" w:sz="0" w:space="0" w:color="auto"/>
            <w:left w:val="none" w:sz="0" w:space="0" w:color="auto"/>
            <w:bottom w:val="none" w:sz="0" w:space="0" w:color="auto"/>
            <w:right w:val="none" w:sz="0" w:space="0" w:color="auto"/>
          </w:divBdr>
        </w:div>
        <w:div w:id="152331713">
          <w:marLeft w:val="0"/>
          <w:marRight w:val="0"/>
          <w:marTop w:val="0"/>
          <w:marBottom w:val="0"/>
          <w:divBdr>
            <w:top w:val="none" w:sz="0" w:space="0" w:color="auto"/>
            <w:left w:val="none" w:sz="0" w:space="0" w:color="auto"/>
            <w:bottom w:val="none" w:sz="0" w:space="0" w:color="auto"/>
            <w:right w:val="none" w:sz="0" w:space="0" w:color="auto"/>
          </w:divBdr>
        </w:div>
        <w:div w:id="1200165748">
          <w:marLeft w:val="0"/>
          <w:marRight w:val="0"/>
          <w:marTop w:val="0"/>
          <w:marBottom w:val="0"/>
          <w:divBdr>
            <w:top w:val="none" w:sz="0" w:space="0" w:color="auto"/>
            <w:left w:val="none" w:sz="0" w:space="0" w:color="auto"/>
            <w:bottom w:val="none" w:sz="0" w:space="0" w:color="auto"/>
            <w:right w:val="none" w:sz="0" w:space="0" w:color="auto"/>
          </w:divBdr>
        </w:div>
        <w:div w:id="1200315792">
          <w:marLeft w:val="0"/>
          <w:marRight w:val="0"/>
          <w:marTop w:val="0"/>
          <w:marBottom w:val="0"/>
          <w:divBdr>
            <w:top w:val="none" w:sz="0" w:space="0" w:color="auto"/>
            <w:left w:val="none" w:sz="0" w:space="0" w:color="auto"/>
            <w:bottom w:val="none" w:sz="0" w:space="0" w:color="auto"/>
            <w:right w:val="none" w:sz="0" w:space="0" w:color="auto"/>
          </w:divBdr>
        </w:div>
        <w:div w:id="104926472">
          <w:marLeft w:val="0"/>
          <w:marRight w:val="0"/>
          <w:marTop w:val="0"/>
          <w:marBottom w:val="0"/>
          <w:divBdr>
            <w:top w:val="none" w:sz="0" w:space="0" w:color="auto"/>
            <w:left w:val="none" w:sz="0" w:space="0" w:color="auto"/>
            <w:bottom w:val="none" w:sz="0" w:space="0" w:color="auto"/>
            <w:right w:val="none" w:sz="0" w:space="0" w:color="auto"/>
          </w:divBdr>
        </w:div>
        <w:div w:id="1821458152">
          <w:marLeft w:val="0"/>
          <w:marRight w:val="0"/>
          <w:marTop w:val="0"/>
          <w:marBottom w:val="0"/>
          <w:divBdr>
            <w:top w:val="none" w:sz="0" w:space="0" w:color="auto"/>
            <w:left w:val="none" w:sz="0" w:space="0" w:color="auto"/>
            <w:bottom w:val="none" w:sz="0" w:space="0" w:color="auto"/>
            <w:right w:val="none" w:sz="0" w:space="0" w:color="auto"/>
          </w:divBdr>
        </w:div>
        <w:div w:id="1558130857">
          <w:marLeft w:val="0"/>
          <w:marRight w:val="0"/>
          <w:marTop w:val="0"/>
          <w:marBottom w:val="0"/>
          <w:divBdr>
            <w:top w:val="none" w:sz="0" w:space="0" w:color="auto"/>
            <w:left w:val="none" w:sz="0" w:space="0" w:color="auto"/>
            <w:bottom w:val="none" w:sz="0" w:space="0" w:color="auto"/>
            <w:right w:val="none" w:sz="0" w:space="0" w:color="auto"/>
          </w:divBdr>
        </w:div>
        <w:div w:id="1779063716">
          <w:marLeft w:val="0"/>
          <w:marRight w:val="0"/>
          <w:marTop w:val="0"/>
          <w:marBottom w:val="0"/>
          <w:divBdr>
            <w:top w:val="none" w:sz="0" w:space="0" w:color="auto"/>
            <w:left w:val="none" w:sz="0" w:space="0" w:color="auto"/>
            <w:bottom w:val="none" w:sz="0" w:space="0" w:color="auto"/>
            <w:right w:val="none" w:sz="0" w:space="0" w:color="auto"/>
          </w:divBdr>
        </w:div>
        <w:div w:id="889994208">
          <w:marLeft w:val="0"/>
          <w:marRight w:val="0"/>
          <w:marTop w:val="0"/>
          <w:marBottom w:val="0"/>
          <w:divBdr>
            <w:top w:val="none" w:sz="0" w:space="0" w:color="auto"/>
            <w:left w:val="none" w:sz="0" w:space="0" w:color="auto"/>
            <w:bottom w:val="none" w:sz="0" w:space="0" w:color="auto"/>
            <w:right w:val="none" w:sz="0" w:space="0" w:color="auto"/>
          </w:divBdr>
        </w:div>
        <w:div w:id="620262142">
          <w:marLeft w:val="0"/>
          <w:marRight w:val="0"/>
          <w:marTop w:val="0"/>
          <w:marBottom w:val="0"/>
          <w:divBdr>
            <w:top w:val="none" w:sz="0" w:space="0" w:color="auto"/>
            <w:left w:val="none" w:sz="0" w:space="0" w:color="auto"/>
            <w:bottom w:val="none" w:sz="0" w:space="0" w:color="auto"/>
            <w:right w:val="none" w:sz="0" w:space="0" w:color="auto"/>
          </w:divBdr>
        </w:div>
      </w:divsChild>
    </w:div>
    <w:div w:id="583610938">
      <w:bodyDiv w:val="1"/>
      <w:marLeft w:val="0"/>
      <w:marRight w:val="0"/>
      <w:marTop w:val="0"/>
      <w:marBottom w:val="0"/>
      <w:divBdr>
        <w:top w:val="none" w:sz="0" w:space="0" w:color="auto"/>
        <w:left w:val="none" w:sz="0" w:space="0" w:color="auto"/>
        <w:bottom w:val="none" w:sz="0" w:space="0" w:color="auto"/>
        <w:right w:val="none" w:sz="0" w:space="0" w:color="auto"/>
      </w:divBdr>
    </w:div>
    <w:div w:id="664473958">
      <w:bodyDiv w:val="1"/>
      <w:marLeft w:val="0"/>
      <w:marRight w:val="0"/>
      <w:marTop w:val="0"/>
      <w:marBottom w:val="0"/>
      <w:divBdr>
        <w:top w:val="none" w:sz="0" w:space="0" w:color="auto"/>
        <w:left w:val="none" w:sz="0" w:space="0" w:color="auto"/>
        <w:bottom w:val="none" w:sz="0" w:space="0" w:color="auto"/>
        <w:right w:val="none" w:sz="0" w:space="0" w:color="auto"/>
      </w:divBdr>
      <w:divsChild>
        <w:div w:id="268126458">
          <w:marLeft w:val="0"/>
          <w:marRight w:val="0"/>
          <w:marTop w:val="0"/>
          <w:marBottom w:val="0"/>
          <w:divBdr>
            <w:top w:val="none" w:sz="0" w:space="0" w:color="auto"/>
            <w:left w:val="none" w:sz="0" w:space="0" w:color="auto"/>
            <w:bottom w:val="none" w:sz="0" w:space="0" w:color="auto"/>
            <w:right w:val="none" w:sz="0" w:space="0" w:color="auto"/>
          </w:divBdr>
        </w:div>
        <w:div w:id="869102527">
          <w:marLeft w:val="0"/>
          <w:marRight w:val="0"/>
          <w:marTop w:val="0"/>
          <w:marBottom w:val="0"/>
          <w:divBdr>
            <w:top w:val="none" w:sz="0" w:space="0" w:color="auto"/>
            <w:left w:val="none" w:sz="0" w:space="0" w:color="auto"/>
            <w:bottom w:val="none" w:sz="0" w:space="0" w:color="auto"/>
            <w:right w:val="none" w:sz="0" w:space="0" w:color="auto"/>
          </w:divBdr>
        </w:div>
        <w:div w:id="538783648">
          <w:marLeft w:val="0"/>
          <w:marRight w:val="0"/>
          <w:marTop w:val="0"/>
          <w:marBottom w:val="0"/>
          <w:divBdr>
            <w:top w:val="none" w:sz="0" w:space="0" w:color="auto"/>
            <w:left w:val="none" w:sz="0" w:space="0" w:color="auto"/>
            <w:bottom w:val="none" w:sz="0" w:space="0" w:color="auto"/>
            <w:right w:val="none" w:sz="0" w:space="0" w:color="auto"/>
          </w:divBdr>
        </w:div>
      </w:divsChild>
    </w:div>
    <w:div w:id="713118710">
      <w:bodyDiv w:val="1"/>
      <w:marLeft w:val="0"/>
      <w:marRight w:val="0"/>
      <w:marTop w:val="0"/>
      <w:marBottom w:val="0"/>
      <w:divBdr>
        <w:top w:val="none" w:sz="0" w:space="0" w:color="auto"/>
        <w:left w:val="none" w:sz="0" w:space="0" w:color="auto"/>
        <w:bottom w:val="none" w:sz="0" w:space="0" w:color="auto"/>
        <w:right w:val="none" w:sz="0" w:space="0" w:color="auto"/>
      </w:divBdr>
      <w:divsChild>
        <w:div w:id="2064986377">
          <w:marLeft w:val="0"/>
          <w:marRight w:val="0"/>
          <w:marTop w:val="0"/>
          <w:marBottom w:val="0"/>
          <w:divBdr>
            <w:top w:val="none" w:sz="0" w:space="0" w:color="auto"/>
            <w:left w:val="none" w:sz="0" w:space="0" w:color="auto"/>
            <w:bottom w:val="none" w:sz="0" w:space="0" w:color="auto"/>
            <w:right w:val="none" w:sz="0" w:space="0" w:color="auto"/>
          </w:divBdr>
        </w:div>
        <w:div w:id="711196773">
          <w:marLeft w:val="0"/>
          <w:marRight w:val="0"/>
          <w:marTop w:val="0"/>
          <w:marBottom w:val="0"/>
          <w:divBdr>
            <w:top w:val="none" w:sz="0" w:space="0" w:color="auto"/>
            <w:left w:val="none" w:sz="0" w:space="0" w:color="auto"/>
            <w:bottom w:val="none" w:sz="0" w:space="0" w:color="auto"/>
            <w:right w:val="none" w:sz="0" w:space="0" w:color="auto"/>
          </w:divBdr>
        </w:div>
        <w:div w:id="1003699984">
          <w:marLeft w:val="0"/>
          <w:marRight w:val="0"/>
          <w:marTop w:val="0"/>
          <w:marBottom w:val="0"/>
          <w:divBdr>
            <w:top w:val="none" w:sz="0" w:space="0" w:color="auto"/>
            <w:left w:val="none" w:sz="0" w:space="0" w:color="auto"/>
            <w:bottom w:val="none" w:sz="0" w:space="0" w:color="auto"/>
            <w:right w:val="none" w:sz="0" w:space="0" w:color="auto"/>
          </w:divBdr>
        </w:div>
        <w:div w:id="1881702155">
          <w:marLeft w:val="0"/>
          <w:marRight w:val="0"/>
          <w:marTop w:val="0"/>
          <w:marBottom w:val="0"/>
          <w:divBdr>
            <w:top w:val="none" w:sz="0" w:space="0" w:color="auto"/>
            <w:left w:val="none" w:sz="0" w:space="0" w:color="auto"/>
            <w:bottom w:val="none" w:sz="0" w:space="0" w:color="auto"/>
            <w:right w:val="none" w:sz="0" w:space="0" w:color="auto"/>
          </w:divBdr>
        </w:div>
        <w:div w:id="2000423341">
          <w:marLeft w:val="0"/>
          <w:marRight w:val="0"/>
          <w:marTop w:val="0"/>
          <w:marBottom w:val="0"/>
          <w:divBdr>
            <w:top w:val="none" w:sz="0" w:space="0" w:color="auto"/>
            <w:left w:val="none" w:sz="0" w:space="0" w:color="auto"/>
            <w:bottom w:val="none" w:sz="0" w:space="0" w:color="auto"/>
            <w:right w:val="none" w:sz="0" w:space="0" w:color="auto"/>
          </w:divBdr>
        </w:div>
        <w:div w:id="1034233746">
          <w:marLeft w:val="0"/>
          <w:marRight w:val="0"/>
          <w:marTop w:val="0"/>
          <w:marBottom w:val="0"/>
          <w:divBdr>
            <w:top w:val="none" w:sz="0" w:space="0" w:color="auto"/>
            <w:left w:val="none" w:sz="0" w:space="0" w:color="auto"/>
            <w:bottom w:val="none" w:sz="0" w:space="0" w:color="auto"/>
            <w:right w:val="none" w:sz="0" w:space="0" w:color="auto"/>
          </w:divBdr>
        </w:div>
        <w:div w:id="819228407">
          <w:marLeft w:val="0"/>
          <w:marRight w:val="0"/>
          <w:marTop w:val="0"/>
          <w:marBottom w:val="0"/>
          <w:divBdr>
            <w:top w:val="none" w:sz="0" w:space="0" w:color="auto"/>
            <w:left w:val="none" w:sz="0" w:space="0" w:color="auto"/>
            <w:bottom w:val="none" w:sz="0" w:space="0" w:color="auto"/>
            <w:right w:val="none" w:sz="0" w:space="0" w:color="auto"/>
          </w:divBdr>
        </w:div>
      </w:divsChild>
    </w:div>
    <w:div w:id="946035975">
      <w:bodyDiv w:val="1"/>
      <w:marLeft w:val="0"/>
      <w:marRight w:val="0"/>
      <w:marTop w:val="0"/>
      <w:marBottom w:val="0"/>
      <w:divBdr>
        <w:top w:val="none" w:sz="0" w:space="0" w:color="auto"/>
        <w:left w:val="none" w:sz="0" w:space="0" w:color="auto"/>
        <w:bottom w:val="none" w:sz="0" w:space="0" w:color="auto"/>
        <w:right w:val="none" w:sz="0" w:space="0" w:color="auto"/>
      </w:divBdr>
    </w:div>
    <w:div w:id="982545235">
      <w:bodyDiv w:val="1"/>
      <w:marLeft w:val="0"/>
      <w:marRight w:val="0"/>
      <w:marTop w:val="0"/>
      <w:marBottom w:val="0"/>
      <w:divBdr>
        <w:top w:val="none" w:sz="0" w:space="0" w:color="auto"/>
        <w:left w:val="none" w:sz="0" w:space="0" w:color="auto"/>
        <w:bottom w:val="none" w:sz="0" w:space="0" w:color="auto"/>
        <w:right w:val="none" w:sz="0" w:space="0" w:color="auto"/>
      </w:divBdr>
    </w:div>
    <w:div w:id="1213543474">
      <w:bodyDiv w:val="1"/>
      <w:marLeft w:val="0"/>
      <w:marRight w:val="0"/>
      <w:marTop w:val="0"/>
      <w:marBottom w:val="0"/>
      <w:divBdr>
        <w:top w:val="none" w:sz="0" w:space="0" w:color="auto"/>
        <w:left w:val="none" w:sz="0" w:space="0" w:color="auto"/>
        <w:bottom w:val="none" w:sz="0" w:space="0" w:color="auto"/>
        <w:right w:val="none" w:sz="0" w:space="0" w:color="auto"/>
      </w:divBdr>
    </w:div>
    <w:div w:id="1254972501">
      <w:bodyDiv w:val="1"/>
      <w:marLeft w:val="0"/>
      <w:marRight w:val="0"/>
      <w:marTop w:val="0"/>
      <w:marBottom w:val="0"/>
      <w:divBdr>
        <w:top w:val="none" w:sz="0" w:space="0" w:color="auto"/>
        <w:left w:val="none" w:sz="0" w:space="0" w:color="auto"/>
        <w:bottom w:val="none" w:sz="0" w:space="0" w:color="auto"/>
        <w:right w:val="none" w:sz="0" w:space="0" w:color="auto"/>
      </w:divBdr>
    </w:div>
    <w:div w:id="1561482213">
      <w:bodyDiv w:val="1"/>
      <w:marLeft w:val="0"/>
      <w:marRight w:val="0"/>
      <w:marTop w:val="0"/>
      <w:marBottom w:val="0"/>
      <w:divBdr>
        <w:top w:val="none" w:sz="0" w:space="0" w:color="auto"/>
        <w:left w:val="none" w:sz="0" w:space="0" w:color="auto"/>
        <w:bottom w:val="none" w:sz="0" w:space="0" w:color="auto"/>
        <w:right w:val="none" w:sz="0" w:space="0" w:color="auto"/>
      </w:divBdr>
    </w:div>
    <w:div w:id="1602109656">
      <w:bodyDiv w:val="1"/>
      <w:marLeft w:val="0"/>
      <w:marRight w:val="0"/>
      <w:marTop w:val="0"/>
      <w:marBottom w:val="0"/>
      <w:divBdr>
        <w:top w:val="none" w:sz="0" w:space="0" w:color="auto"/>
        <w:left w:val="none" w:sz="0" w:space="0" w:color="auto"/>
        <w:bottom w:val="none" w:sz="0" w:space="0" w:color="auto"/>
        <w:right w:val="none" w:sz="0" w:space="0" w:color="auto"/>
      </w:divBdr>
    </w:div>
    <w:div w:id="1655181805">
      <w:bodyDiv w:val="1"/>
      <w:marLeft w:val="0"/>
      <w:marRight w:val="0"/>
      <w:marTop w:val="0"/>
      <w:marBottom w:val="0"/>
      <w:divBdr>
        <w:top w:val="none" w:sz="0" w:space="0" w:color="auto"/>
        <w:left w:val="none" w:sz="0" w:space="0" w:color="auto"/>
        <w:bottom w:val="none" w:sz="0" w:space="0" w:color="auto"/>
        <w:right w:val="none" w:sz="0" w:space="0" w:color="auto"/>
      </w:divBdr>
    </w:div>
    <w:div w:id="1666471105">
      <w:bodyDiv w:val="1"/>
      <w:marLeft w:val="0"/>
      <w:marRight w:val="0"/>
      <w:marTop w:val="0"/>
      <w:marBottom w:val="0"/>
      <w:divBdr>
        <w:top w:val="none" w:sz="0" w:space="0" w:color="auto"/>
        <w:left w:val="none" w:sz="0" w:space="0" w:color="auto"/>
        <w:bottom w:val="none" w:sz="0" w:space="0" w:color="auto"/>
        <w:right w:val="none" w:sz="0" w:space="0" w:color="auto"/>
      </w:divBdr>
    </w:div>
    <w:div w:id="1692340389">
      <w:bodyDiv w:val="1"/>
      <w:marLeft w:val="0"/>
      <w:marRight w:val="0"/>
      <w:marTop w:val="0"/>
      <w:marBottom w:val="0"/>
      <w:divBdr>
        <w:top w:val="none" w:sz="0" w:space="0" w:color="auto"/>
        <w:left w:val="none" w:sz="0" w:space="0" w:color="auto"/>
        <w:bottom w:val="none" w:sz="0" w:space="0" w:color="auto"/>
        <w:right w:val="none" w:sz="0" w:space="0" w:color="auto"/>
      </w:divBdr>
      <w:divsChild>
        <w:div w:id="1276016510">
          <w:marLeft w:val="0"/>
          <w:marRight w:val="0"/>
          <w:marTop w:val="0"/>
          <w:marBottom w:val="0"/>
          <w:divBdr>
            <w:top w:val="none" w:sz="0" w:space="0" w:color="auto"/>
            <w:left w:val="none" w:sz="0" w:space="0" w:color="auto"/>
            <w:bottom w:val="none" w:sz="0" w:space="0" w:color="auto"/>
            <w:right w:val="none" w:sz="0" w:space="0" w:color="auto"/>
          </w:divBdr>
        </w:div>
        <w:div w:id="1066949808">
          <w:marLeft w:val="0"/>
          <w:marRight w:val="0"/>
          <w:marTop w:val="0"/>
          <w:marBottom w:val="0"/>
          <w:divBdr>
            <w:top w:val="none" w:sz="0" w:space="0" w:color="auto"/>
            <w:left w:val="none" w:sz="0" w:space="0" w:color="auto"/>
            <w:bottom w:val="none" w:sz="0" w:space="0" w:color="auto"/>
            <w:right w:val="none" w:sz="0" w:space="0" w:color="auto"/>
          </w:divBdr>
        </w:div>
        <w:div w:id="1682506191">
          <w:marLeft w:val="0"/>
          <w:marRight w:val="0"/>
          <w:marTop w:val="0"/>
          <w:marBottom w:val="0"/>
          <w:divBdr>
            <w:top w:val="none" w:sz="0" w:space="0" w:color="auto"/>
            <w:left w:val="none" w:sz="0" w:space="0" w:color="auto"/>
            <w:bottom w:val="none" w:sz="0" w:space="0" w:color="auto"/>
            <w:right w:val="none" w:sz="0" w:space="0" w:color="auto"/>
          </w:divBdr>
        </w:div>
        <w:div w:id="1835025929">
          <w:marLeft w:val="0"/>
          <w:marRight w:val="0"/>
          <w:marTop w:val="0"/>
          <w:marBottom w:val="0"/>
          <w:divBdr>
            <w:top w:val="none" w:sz="0" w:space="0" w:color="auto"/>
            <w:left w:val="none" w:sz="0" w:space="0" w:color="auto"/>
            <w:bottom w:val="none" w:sz="0" w:space="0" w:color="auto"/>
            <w:right w:val="none" w:sz="0" w:space="0" w:color="auto"/>
          </w:divBdr>
        </w:div>
        <w:div w:id="1529373425">
          <w:marLeft w:val="0"/>
          <w:marRight w:val="0"/>
          <w:marTop w:val="0"/>
          <w:marBottom w:val="0"/>
          <w:divBdr>
            <w:top w:val="none" w:sz="0" w:space="0" w:color="auto"/>
            <w:left w:val="none" w:sz="0" w:space="0" w:color="auto"/>
            <w:bottom w:val="none" w:sz="0" w:space="0" w:color="auto"/>
            <w:right w:val="none" w:sz="0" w:space="0" w:color="auto"/>
          </w:divBdr>
        </w:div>
        <w:div w:id="1844389617">
          <w:marLeft w:val="0"/>
          <w:marRight w:val="0"/>
          <w:marTop w:val="0"/>
          <w:marBottom w:val="0"/>
          <w:divBdr>
            <w:top w:val="none" w:sz="0" w:space="0" w:color="auto"/>
            <w:left w:val="none" w:sz="0" w:space="0" w:color="auto"/>
            <w:bottom w:val="none" w:sz="0" w:space="0" w:color="auto"/>
            <w:right w:val="none" w:sz="0" w:space="0" w:color="auto"/>
          </w:divBdr>
        </w:div>
        <w:div w:id="297995673">
          <w:marLeft w:val="0"/>
          <w:marRight w:val="0"/>
          <w:marTop w:val="0"/>
          <w:marBottom w:val="0"/>
          <w:divBdr>
            <w:top w:val="none" w:sz="0" w:space="0" w:color="auto"/>
            <w:left w:val="none" w:sz="0" w:space="0" w:color="auto"/>
            <w:bottom w:val="none" w:sz="0" w:space="0" w:color="auto"/>
            <w:right w:val="none" w:sz="0" w:space="0" w:color="auto"/>
          </w:divBdr>
        </w:div>
        <w:div w:id="697319624">
          <w:marLeft w:val="0"/>
          <w:marRight w:val="0"/>
          <w:marTop w:val="0"/>
          <w:marBottom w:val="0"/>
          <w:divBdr>
            <w:top w:val="none" w:sz="0" w:space="0" w:color="auto"/>
            <w:left w:val="none" w:sz="0" w:space="0" w:color="auto"/>
            <w:bottom w:val="none" w:sz="0" w:space="0" w:color="auto"/>
            <w:right w:val="none" w:sz="0" w:space="0" w:color="auto"/>
          </w:divBdr>
        </w:div>
      </w:divsChild>
    </w:div>
    <w:div w:id="1716344801">
      <w:bodyDiv w:val="1"/>
      <w:marLeft w:val="0"/>
      <w:marRight w:val="0"/>
      <w:marTop w:val="0"/>
      <w:marBottom w:val="0"/>
      <w:divBdr>
        <w:top w:val="none" w:sz="0" w:space="0" w:color="auto"/>
        <w:left w:val="none" w:sz="0" w:space="0" w:color="auto"/>
        <w:bottom w:val="none" w:sz="0" w:space="0" w:color="auto"/>
        <w:right w:val="none" w:sz="0" w:space="0" w:color="auto"/>
      </w:divBdr>
    </w:div>
    <w:div w:id="1918128081">
      <w:bodyDiv w:val="1"/>
      <w:marLeft w:val="0"/>
      <w:marRight w:val="0"/>
      <w:marTop w:val="0"/>
      <w:marBottom w:val="0"/>
      <w:divBdr>
        <w:top w:val="none" w:sz="0" w:space="0" w:color="auto"/>
        <w:left w:val="none" w:sz="0" w:space="0" w:color="auto"/>
        <w:bottom w:val="none" w:sz="0" w:space="0" w:color="auto"/>
        <w:right w:val="none" w:sz="0" w:space="0" w:color="auto"/>
      </w:divBdr>
    </w:div>
    <w:div w:id="1951626352">
      <w:bodyDiv w:val="1"/>
      <w:marLeft w:val="0"/>
      <w:marRight w:val="0"/>
      <w:marTop w:val="0"/>
      <w:marBottom w:val="0"/>
      <w:divBdr>
        <w:top w:val="none" w:sz="0" w:space="0" w:color="auto"/>
        <w:left w:val="none" w:sz="0" w:space="0" w:color="auto"/>
        <w:bottom w:val="none" w:sz="0" w:space="0" w:color="auto"/>
        <w:right w:val="none" w:sz="0" w:space="0" w:color="auto"/>
      </w:divBdr>
    </w:div>
    <w:div w:id="203156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5047</Words>
  <Characters>28774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Levitt</dc:creator>
  <cp:lastModifiedBy>Peter Levitt</cp:lastModifiedBy>
  <cp:revision>3</cp:revision>
  <cp:lastPrinted>1900-01-01T08:00:00Z</cp:lastPrinted>
  <dcterms:created xsi:type="dcterms:W3CDTF">2022-12-20T23:40:00Z</dcterms:created>
  <dcterms:modified xsi:type="dcterms:W3CDTF">2022-12-20T23:42:00Z</dcterms:modified>
</cp:coreProperties>
</file>