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7A7EB" w14:textId="1FA389EE" w:rsidR="00B15AD1" w:rsidRPr="008C7166" w:rsidRDefault="00CC1C6C" w:rsidP="00CC1C6C">
      <w:pPr>
        <w:jc w:val="center"/>
        <w:rPr>
          <w:b/>
          <w:bCs/>
        </w:rPr>
      </w:pPr>
      <w:r w:rsidRPr="008C7166">
        <w:rPr>
          <w:b/>
          <w:bCs/>
        </w:rPr>
        <w:t>EPC Term Sheet</w:t>
      </w:r>
    </w:p>
    <w:p w14:paraId="775DBD5A" w14:textId="77A4ACF8" w:rsidR="00CC1C6C" w:rsidRPr="008C7166" w:rsidRDefault="00CC1C6C" w:rsidP="00CC1C6C">
      <w:pPr>
        <w:jc w:val="center"/>
        <w:rPr>
          <w:b/>
          <w:bCs/>
        </w:rPr>
      </w:pPr>
      <w:r w:rsidRPr="008C7166">
        <w:rPr>
          <w:b/>
          <w:bCs/>
        </w:rPr>
        <w:t xml:space="preserve">Peninsula Clean Energy </w:t>
      </w:r>
    </w:p>
    <w:p w14:paraId="4AD14E8A" w14:textId="14D9C71C" w:rsidR="00CC1C6C" w:rsidRDefault="00CC1C6C" w:rsidP="00CC1C6C">
      <w:pPr>
        <w:jc w:val="center"/>
        <w:rPr>
          <w:b/>
          <w:bCs/>
        </w:rPr>
      </w:pPr>
      <w:r w:rsidRPr="008C7166">
        <w:rPr>
          <w:b/>
          <w:bCs/>
        </w:rPr>
        <w:t>Public Facilities Solar &amp; Storage Program</w:t>
      </w:r>
    </w:p>
    <w:p w14:paraId="3E87B21C" w14:textId="77777777" w:rsidR="003E401F" w:rsidRDefault="003E401F" w:rsidP="00CC1C6C">
      <w:pPr>
        <w:jc w:val="center"/>
      </w:pPr>
    </w:p>
    <w:p w14:paraId="7C52A9E8" w14:textId="4FA03FCE" w:rsidR="003E401F" w:rsidRDefault="524DB2C9" w:rsidP="00CC1C6C">
      <w:r>
        <w:t xml:space="preserve">The following are key terms and provisions required by Peninsula Clean Energy (PCE) for a contract arising from this RFP.  The terms herein are applicable to Portfolio A – solar energy projects. Portfolio B – </w:t>
      </w:r>
      <w:proofErr w:type="spellStart"/>
      <w:r>
        <w:t>solar+storage</w:t>
      </w:r>
      <w:proofErr w:type="spellEnd"/>
      <w:r>
        <w:t xml:space="preserve"> projects, </w:t>
      </w:r>
      <w:r w:rsidR="00746904">
        <w:t xml:space="preserve">may </w:t>
      </w:r>
      <w:r>
        <w:t xml:space="preserve">have similar terms, but is anticipated to include third party financing as a component of the developer’s services. </w:t>
      </w:r>
    </w:p>
    <w:p w14:paraId="4A746BDE" w14:textId="77777777" w:rsidR="003E401F" w:rsidRDefault="003E401F" w:rsidP="00CC1C6C"/>
    <w:p w14:paraId="7A2C732C" w14:textId="005F0BE0" w:rsidR="00CC1C6C" w:rsidRDefault="69717292" w:rsidP="0030168E">
      <w:r>
        <w:t xml:space="preserve">At the shortlisting phase, a full draft of PCE’s form EPC agreement will be provided to shortlisted contractors for review.  Contractor will then </w:t>
      </w:r>
      <w:proofErr w:type="gramStart"/>
      <w:r>
        <w:t>have the opportunity to</w:t>
      </w:r>
      <w:proofErr w:type="gramEnd"/>
      <w:r>
        <w:t xml:space="preserve"> provide a revision of the Scope of Work and other details and any deviations from the PCE terms. Note that contractors’ revisions will not necessarily be accepted by PCE. The primary scope includes successful engineering, procurement, construction, testing, and commissioning of Behind-the-Meter Solar PV, at approximately 36 local government public facilities in PCE territory as specified in the RFP. The scope of work for Portfolio B will be similar, as detailed in the RFP, for approximately nine local government public facilities. </w:t>
      </w:r>
    </w:p>
    <w:p w14:paraId="63B7EFCF" w14:textId="77777777" w:rsidR="00CC1C6C" w:rsidRDefault="00CC1C6C" w:rsidP="00CC1C6C"/>
    <w:tbl>
      <w:tblPr>
        <w:tblStyle w:val="TableGrid"/>
        <w:tblW w:w="0" w:type="auto"/>
        <w:tblLook w:val="04A0" w:firstRow="1" w:lastRow="0" w:firstColumn="1" w:lastColumn="0" w:noHBand="0" w:noVBand="1"/>
      </w:tblPr>
      <w:tblGrid>
        <w:gridCol w:w="2177"/>
        <w:gridCol w:w="7173"/>
      </w:tblGrid>
      <w:tr w:rsidR="00A216A9" w14:paraId="207AF5A6" w14:textId="77777777" w:rsidTr="69717292">
        <w:tc>
          <w:tcPr>
            <w:tcW w:w="2177" w:type="dxa"/>
          </w:tcPr>
          <w:p w14:paraId="2C84ECB8" w14:textId="7D661554" w:rsidR="00A216A9" w:rsidRDefault="00A216A9" w:rsidP="00A216A9">
            <w:r>
              <w:t>Key Scope</w:t>
            </w:r>
          </w:p>
        </w:tc>
        <w:tc>
          <w:tcPr>
            <w:tcW w:w="7173" w:type="dxa"/>
          </w:tcPr>
          <w:p w14:paraId="115A609E" w14:textId="0BB3AC45" w:rsidR="00A216A9" w:rsidRDefault="00A216A9" w:rsidP="00A216A9">
            <w:pPr>
              <w:rPr>
                <w:rFonts w:eastAsia="PMingLiU"/>
                <w:szCs w:val="22"/>
                <w:lang w:eastAsia="zh-TW"/>
              </w:rPr>
            </w:pPr>
            <w:r>
              <w:rPr>
                <w:rFonts w:eastAsia="PMingLiU"/>
                <w:szCs w:val="22"/>
                <w:lang w:eastAsia="zh-TW"/>
              </w:rPr>
              <w:t>Contractor will</w:t>
            </w:r>
            <w:r w:rsidR="0013537A">
              <w:rPr>
                <w:rFonts w:eastAsia="PMingLiU"/>
                <w:szCs w:val="22"/>
                <w:lang w:eastAsia="zh-TW"/>
              </w:rPr>
              <w:t>, on a fixed-price, turnkey basis</w:t>
            </w:r>
            <w:r>
              <w:rPr>
                <w:rFonts w:eastAsia="PMingLiU"/>
                <w:szCs w:val="22"/>
                <w:lang w:eastAsia="zh-TW"/>
              </w:rPr>
              <w:t>:</w:t>
            </w:r>
          </w:p>
          <w:p w14:paraId="6F5148C1" w14:textId="19AAE2DB" w:rsidR="00A216A9" w:rsidRPr="002B452E" w:rsidRDefault="00A216A9" w:rsidP="00A216A9">
            <w:pPr>
              <w:pStyle w:val="ListParagraph"/>
              <w:numPr>
                <w:ilvl w:val="0"/>
                <w:numId w:val="1"/>
              </w:numPr>
            </w:pPr>
            <w:r>
              <w:rPr>
                <w:rFonts w:eastAsia="PMingLiU"/>
                <w:szCs w:val="22"/>
                <w:lang w:eastAsia="zh-TW"/>
              </w:rPr>
              <w:t>D</w:t>
            </w:r>
            <w:r w:rsidRPr="002B452E">
              <w:rPr>
                <w:rFonts w:eastAsia="PMingLiU"/>
                <w:szCs w:val="22"/>
                <w:lang w:eastAsia="zh-TW"/>
              </w:rPr>
              <w:t>esign and engineer the Systems;</w:t>
            </w:r>
            <w:r w:rsidR="002450C6">
              <w:rPr>
                <w:rStyle w:val="FootnoteReference"/>
                <w:rFonts w:eastAsia="PMingLiU"/>
                <w:szCs w:val="22"/>
                <w:lang w:eastAsia="zh-TW"/>
              </w:rPr>
              <w:footnoteReference w:id="2"/>
            </w:r>
          </w:p>
          <w:p w14:paraId="0E8A9B1C" w14:textId="77777777" w:rsidR="00A216A9" w:rsidRPr="002B452E" w:rsidRDefault="00A216A9" w:rsidP="00A216A9">
            <w:pPr>
              <w:pStyle w:val="ListParagraph"/>
              <w:numPr>
                <w:ilvl w:val="0"/>
                <w:numId w:val="1"/>
              </w:numPr>
            </w:pPr>
            <w:r>
              <w:rPr>
                <w:rFonts w:eastAsia="PMingLiU"/>
                <w:szCs w:val="22"/>
                <w:lang w:eastAsia="zh-TW"/>
              </w:rPr>
              <w:t>F</w:t>
            </w:r>
            <w:r w:rsidRPr="002B452E">
              <w:rPr>
                <w:rFonts w:eastAsia="PMingLiU"/>
                <w:szCs w:val="22"/>
                <w:lang w:eastAsia="zh-TW"/>
              </w:rPr>
              <w:t xml:space="preserve">urnish and procure all equipment, materials, supplies, and </w:t>
            </w:r>
            <w:proofErr w:type="gramStart"/>
            <w:r w:rsidRPr="002B452E">
              <w:rPr>
                <w:rFonts w:eastAsia="PMingLiU"/>
                <w:szCs w:val="22"/>
                <w:lang w:eastAsia="zh-TW"/>
              </w:rPr>
              <w:t>labor</w:t>
            </w:r>
            <w:proofErr w:type="gramEnd"/>
          </w:p>
          <w:p w14:paraId="012BA6E1" w14:textId="0C087DD8" w:rsidR="00A216A9" w:rsidRPr="002B452E" w:rsidRDefault="00A216A9" w:rsidP="00A216A9">
            <w:pPr>
              <w:pStyle w:val="ListParagraph"/>
              <w:numPr>
                <w:ilvl w:val="0"/>
                <w:numId w:val="1"/>
              </w:numPr>
            </w:pPr>
            <w:r>
              <w:rPr>
                <w:rFonts w:eastAsia="PMingLiU"/>
                <w:szCs w:val="22"/>
                <w:lang w:eastAsia="zh-TW"/>
              </w:rPr>
              <w:t xml:space="preserve">Secure </w:t>
            </w:r>
            <w:r w:rsidRPr="002B452E">
              <w:rPr>
                <w:rFonts w:eastAsia="PMingLiU"/>
                <w:szCs w:val="22"/>
                <w:lang w:eastAsia="zh-TW"/>
              </w:rPr>
              <w:t>permit</w:t>
            </w:r>
            <w:r>
              <w:rPr>
                <w:rFonts w:eastAsia="PMingLiU"/>
                <w:szCs w:val="22"/>
                <w:lang w:eastAsia="zh-TW"/>
              </w:rPr>
              <w:t>s</w:t>
            </w:r>
            <w:r w:rsidRPr="002B452E">
              <w:rPr>
                <w:rFonts w:eastAsia="PMingLiU"/>
                <w:szCs w:val="22"/>
                <w:lang w:eastAsia="zh-TW"/>
              </w:rPr>
              <w:t>, construct, install, start-up, commission, test and interconnect</w:t>
            </w:r>
            <w:r w:rsidR="0013537A">
              <w:rPr>
                <w:rStyle w:val="FootnoteReference"/>
                <w:rFonts w:eastAsia="PMingLiU"/>
                <w:szCs w:val="22"/>
                <w:lang w:eastAsia="zh-TW"/>
              </w:rPr>
              <w:footnoteReference w:id="3"/>
            </w:r>
            <w:r w:rsidRPr="002B452E">
              <w:rPr>
                <w:rFonts w:eastAsia="PMingLiU"/>
                <w:szCs w:val="22"/>
                <w:lang w:eastAsia="zh-TW"/>
              </w:rPr>
              <w:t xml:space="preserve"> the </w:t>
            </w:r>
            <w:proofErr w:type="gramStart"/>
            <w:r w:rsidRPr="002B452E">
              <w:rPr>
                <w:rFonts w:eastAsia="PMingLiU"/>
                <w:szCs w:val="22"/>
                <w:lang w:eastAsia="zh-TW"/>
              </w:rPr>
              <w:t>Systems</w:t>
            </w:r>
            <w:proofErr w:type="gramEnd"/>
          </w:p>
          <w:p w14:paraId="027A14C2" w14:textId="753FBDD3" w:rsidR="00A216A9" w:rsidRDefault="00A216A9" w:rsidP="00A216A9">
            <w:pPr>
              <w:pStyle w:val="ListParagraph"/>
              <w:numPr>
                <w:ilvl w:val="0"/>
                <w:numId w:val="1"/>
              </w:numPr>
            </w:pPr>
            <w:r>
              <w:rPr>
                <w:rFonts w:eastAsia="PMingLiU"/>
                <w:szCs w:val="22"/>
                <w:lang w:eastAsia="zh-TW"/>
              </w:rPr>
              <w:t>P</w:t>
            </w:r>
            <w:r w:rsidRPr="002B452E">
              <w:rPr>
                <w:rFonts w:eastAsia="PMingLiU"/>
                <w:szCs w:val="22"/>
                <w:lang w:eastAsia="zh-TW"/>
              </w:rPr>
              <w:t>erform all related activities for the successful delivery</w:t>
            </w:r>
            <w:r w:rsidR="00FC792D">
              <w:rPr>
                <w:rFonts w:eastAsia="PMingLiU"/>
                <w:szCs w:val="22"/>
                <w:lang w:eastAsia="zh-TW"/>
              </w:rPr>
              <w:t>,</w:t>
            </w:r>
            <w:r w:rsidR="00D52CFD">
              <w:rPr>
                <w:rFonts w:eastAsia="PMingLiU"/>
                <w:szCs w:val="22"/>
                <w:lang w:eastAsia="zh-TW"/>
              </w:rPr>
              <w:t xml:space="preserve"> operation</w:t>
            </w:r>
            <w:r w:rsidR="00FC792D">
              <w:rPr>
                <w:rFonts w:eastAsia="PMingLiU"/>
                <w:szCs w:val="22"/>
                <w:lang w:eastAsia="zh-TW"/>
              </w:rPr>
              <w:t>, and maintenance</w:t>
            </w:r>
            <w:r w:rsidRPr="002B452E">
              <w:rPr>
                <w:rFonts w:eastAsia="PMingLiU"/>
                <w:szCs w:val="22"/>
                <w:lang w:eastAsia="zh-TW"/>
              </w:rPr>
              <w:t xml:space="preserve"> of the Systems </w:t>
            </w:r>
          </w:p>
        </w:tc>
      </w:tr>
      <w:tr w:rsidR="003F6BD9" w14:paraId="636F8C57" w14:textId="77777777" w:rsidTr="69717292">
        <w:tc>
          <w:tcPr>
            <w:tcW w:w="2177" w:type="dxa"/>
          </w:tcPr>
          <w:p w14:paraId="3B923FC0" w14:textId="46F7B81E" w:rsidR="003F6BD9" w:rsidRDefault="003F6BD9" w:rsidP="00A216A9">
            <w:r>
              <w:t>Pricing</w:t>
            </w:r>
          </w:p>
        </w:tc>
        <w:tc>
          <w:tcPr>
            <w:tcW w:w="7173" w:type="dxa"/>
          </w:tcPr>
          <w:p w14:paraId="74A47027" w14:textId="3B1C7A9C" w:rsidR="003F6BD9" w:rsidRDefault="003F6BD9" w:rsidP="00A216A9">
            <w:r>
              <w:t>Proposed pricing</w:t>
            </w:r>
            <w:r w:rsidR="009632FA">
              <w:t xml:space="preserve"> fo</w:t>
            </w:r>
            <w:r w:rsidR="00D13840">
              <w:t xml:space="preserve">r </w:t>
            </w:r>
            <w:r w:rsidR="0013537A">
              <w:t xml:space="preserve">all services, work and equipment for </w:t>
            </w:r>
            <w:r w:rsidR="00D13840">
              <w:t>each System</w:t>
            </w:r>
            <w:r>
              <w:t xml:space="preserve"> </w:t>
            </w:r>
            <w:r w:rsidR="00D13840">
              <w:t>in the portfolio</w:t>
            </w:r>
            <w:r w:rsidR="006D454F">
              <w:t>(s)</w:t>
            </w:r>
            <w:r w:rsidR="00D13840">
              <w:t xml:space="preserve"> </w:t>
            </w:r>
            <w:r>
              <w:t xml:space="preserve">shall be provided </w:t>
            </w:r>
            <w:r w:rsidR="009632FA">
              <w:t xml:space="preserve">by Contractor </w:t>
            </w:r>
            <w:r>
              <w:t xml:space="preserve">in the Proposal Form included with the RFP documentation.  </w:t>
            </w:r>
          </w:p>
        </w:tc>
      </w:tr>
      <w:tr w:rsidR="00513BF8" w14:paraId="6552334B" w14:textId="77777777" w:rsidTr="69717292">
        <w:tc>
          <w:tcPr>
            <w:tcW w:w="2177" w:type="dxa"/>
          </w:tcPr>
          <w:p w14:paraId="36F2E57A" w14:textId="558A3611" w:rsidR="00513BF8" w:rsidRDefault="00513BF8" w:rsidP="0092739E">
            <w:r>
              <w:t>Schedule</w:t>
            </w:r>
            <w:r w:rsidR="009D73FD">
              <w:t xml:space="preserve"> and Milestones</w:t>
            </w:r>
          </w:p>
        </w:tc>
        <w:tc>
          <w:tcPr>
            <w:tcW w:w="7173" w:type="dxa"/>
          </w:tcPr>
          <w:p w14:paraId="1F5A4693" w14:textId="67C99CFC" w:rsidR="00513BF8" w:rsidRDefault="00532ED3" w:rsidP="0092739E">
            <w:r>
              <w:t xml:space="preserve">In the proposal form, </w:t>
            </w:r>
            <w:r w:rsidR="0013537A">
              <w:t>C</w:t>
            </w:r>
            <w:r>
              <w:t>ontractor will supply a generic schedule for the specified milestones applicable to each site</w:t>
            </w:r>
            <w:r w:rsidR="0013537A">
              <w:t xml:space="preserve"> (</w:t>
            </w:r>
            <w:proofErr w:type="gramStart"/>
            <w:r w:rsidR="0013537A">
              <w:t>i.e.</w:t>
            </w:r>
            <w:proofErr w:type="gramEnd"/>
            <w:r w:rsidR="0013537A">
              <w:t xml:space="preserve"> number of days from Notice to Proceed for the completion of each milestone)</w:t>
            </w:r>
            <w:r>
              <w:t xml:space="preserve">. </w:t>
            </w:r>
            <w:r w:rsidR="00513BF8">
              <w:t xml:space="preserve">  </w:t>
            </w:r>
          </w:p>
        </w:tc>
      </w:tr>
      <w:tr w:rsidR="00532ED3" w14:paraId="7F4B0770" w14:textId="77777777" w:rsidTr="69717292">
        <w:tc>
          <w:tcPr>
            <w:tcW w:w="2177" w:type="dxa"/>
          </w:tcPr>
          <w:p w14:paraId="5D1B35AE" w14:textId="312AACED" w:rsidR="00532ED3" w:rsidRDefault="00532ED3" w:rsidP="00532ED3">
            <w:r>
              <w:t>Milestone Payments</w:t>
            </w:r>
          </w:p>
        </w:tc>
        <w:tc>
          <w:tcPr>
            <w:tcW w:w="7173" w:type="dxa"/>
          </w:tcPr>
          <w:p w14:paraId="77E74B92" w14:textId="5DE84EBB" w:rsidR="00532ED3" w:rsidRDefault="00532ED3" w:rsidP="00532ED3">
            <w:r>
              <w:t>PCE will pay Contractor upon the successful completion of milestones for each site in the portfolio</w:t>
            </w:r>
            <w:r w:rsidR="003E401F">
              <w:t>(s)</w:t>
            </w:r>
            <w:r>
              <w:t xml:space="preserve">.  The payment formula will be a specified percentage for a given milestone attainment multiplied by the total agreed price for that site. </w:t>
            </w:r>
            <w:r w:rsidR="0013537A">
              <w:t xml:space="preserve">PCE requires substantial milestone percentages for substantial and final project completion. </w:t>
            </w:r>
            <w:r>
              <w:t xml:space="preserve">  </w:t>
            </w:r>
          </w:p>
        </w:tc>
      </w:tr>
      <w:tr w:rsidR="00532ED3" w14:paraId="50F6D84B" w14:textId="77777777" w:rsidTr="69717292">
        <w:tc>
          <w:tcPr>
            <w:tcW w:w="2177" w:type="dxa"/>
          </w:tcPr>
          <w:p w14:paraId="7E0DC731" w14:textId="77777777" w:rsidR="00532ED3" w:rsidRDefault="00532ED3" w:rsidP="00532ED3">
            <w:r>
              <w:lastRenderedPageBreak/>
              <w:t>Key Milestones</w:t>
            </w:r>
          </w:p>
        </w:tc>
        <w:tc>
          <w:tcPr>
            <w:tcW w:w="7173" w:type="dxa"/>
          </w:tcPr>
          <w:p w14:paraId="719FAB05" w14:textId="0E048F67" w:rsidR="00532ED3" w:rsidRDefault="00C636F3" w:rsidP="00532ED3">
            <w:r>
              <w:t xml:space="preserve">Contractor </w:t>
            </w:r>
            <w:r w:rsidR="001D695B">
              <w:t xml:space="preserve">will </w:t>
            </w:r>
            <w:r>
              <w:t xml:space="preserve">be expected to achieve </w:t>
            </w:r>
            <w:r w:rsidR="00532ED3">
              <w:t>the following key milestone</w:t>
            </w:r>
            <w:r>
              <w:t xml:space="preserve"> deadlines for each System</w:t>
            </w:r>
            <w:r w:rsidR="00F8158B">
              <w:t xml:space="preserve"> in Portfolio A</w:t>
            </w:r>
            <w:r w:rsidR="00532ED3">
              <w:t>:</w:t>
            </w:r>
          </w:p>
          <w:p w14:paraId="1570C15A" w14:textId="425B6441" w:rsidR="00532ED3" w:rsidRDefault="00532ED3" w:rsidP="00532ED3">
            <w:pPr>
              <w:pStyle w:val="ListParagraph"/>
              <w:numPr>
                <w:ilvl w:val="0"/>
                <w:numId w:val="2"/>
              </w:numPr>
            </w:pPr>
            <w:r>
              <w:t xml:space="preserve">Commencement of construction within 1 year of </w:t>
            </w:r>
            <w:r w:rsidR="00C636F3">
              <w:t xml:space="preserve">notice to </w:t>
            </w:r>
            <w:proofErr w:type="gramStart"/>
            <w:r w:rsidR="00C636F3">
              <w:t>proceed</w:t>
            </w:r>
            <w:proofErr w:type="gramEnd"/>
          </w:p>
          <w:p w14:paraId="1524C4BD" w14:textId="250D4A49" w:rsidR="003E401F" w:rsidRDefault="69717292" w:rsidP="00A24932">
            <w:pPr>
              <w:pStyle w:val="ListParagraph"/>
              <w:numPr>
                <w:ilvl w:val="0"/>
                <w:numId w:val="2"/>
              </w:numPr>
            </w:pPr>
            <w:r>
              <w:t>Substantial Completion by end of 2025</w:t>
            </w:r>
          </w:p>
          <w:p w14:paraId="68EC6BF7" w14:textId="18D2F551" w:rsidR="00A24932" w:rsidRDefault="00A24932" w:rsidP="003E401F">
            <w:pPr>
              <w:pStyle w:val="ListParagraph"/>
              <w:numPr>
                <w:ilvl w:val="0"/>
                <w:numId w:val="2"/>
              </w:numPr>
            </w:pPr>
            <w:r>
              <w:t>F</w:t>
            </w:r>
            <w:r w:rsidRPr="00C636F3">
              <w:t>inal building department sign off and electrical clearing by the applicable AHJ within three (3) years of interconnection application submission</w:t>
            </w:r>
            <w:r w:rsidR="00412157">
              <w:t xml:space="preserve"> (March 2026) </w:t>
            </w:r>
          </w:p>
        </w:tc>
      </w:tr>
      <w:tr w:rsidR="00C636F3" w14:paraId="2F105C95" w14:textId="77777777" w:rsidTr="69717292">
        <w:tc>
          <w:tcPr>
            <w:tcW w:w="2177" w:type="dxa"/>
          </w:tcPr>
          <w:p w14:paraId="69B0E2A2" w14:textId="320DFF7F" w:rsidR="00C636F3" w:rsidRDefault="00C636F3" w:rsidP="00C636F3">
            <w:r>
              <w:t xml:space="preserve">Time Is </w:t>
            </w:r>
            <w:proofErr w:type="gramStart"/>
            <w:r>
              <w:t>Of</w:t>
            </w:r>
            <w:proofErr w:type="gramEnd"/>
            <w:r>
              <w:t xml:space="preserve"> The Essence</w:t>
            </w:r>
            <w:r w:rsidR="001D695B">
              <w:t xml:space="preserve"> &amp; Delay Damages</w:t>
            </w:r>
          </w:p>
        </w:tc>
        <w:tc>
          <w:tcPr>
            <w:tcW w:w="7173" w:type="dxa"/>
          </w:tcPr>
          <w:p w14:paraId="41F354FE" w14:textId="02FBEBA1" w:rsidR="00C636F3" w:rsidRDefault="00C636F3" w:rsidP="00C636F3">
            <w:r>
              <w:t xml:space="preserve">Contractor agrees that time is of the essence and that </w:t>
            </w:r>
            <w:r w:rsidR="001D695B">
              <w:t xml:space="preserve">retaining the </w:t>
            </w:r>
            <w:r w:rsidR="00F8158B">
              <w:t xml:space="preserve">Portfolio A </w:t>
            </w:r>
            <w:r w:rsidR="001D695B">
              <w:t xml:space="preserve">Systems’ eligibility for NEM 2 is a material term of this work. </w:t>
            </w:r>
            <w:r>
              <w:t xml:space="preserve">Agreement will include liquidated damages for failure to achieve </w:t>
            </w:r>
            <w:r w:rsidR="001D695B">
              <w:t xml:space="preserve">required </w:t>
            </w:r>
            <w:r>
              <w:t>deadline</w:t>
            </w:r>
            <w:r w:rsidR="001D695B">
              <w:t>s</w:t>
            </w:r>
            <w:r>
              <w:t xml:space="preserve"> other than due to Force Majeure (including utility and government-caused delays) that reflect the financial harm to PCE and its customers for failure to take service under NEM 2.0.</w:t>
            </w:r>
          </w:p>
        </w:tc>
      </w:tr>
      <w:tr w:rsidR="001D695B" w14:paraId="035ACDD7" w14:textId="77777777" w:rsidTr="69717292">
        <w:tc>
          <w:tcPr>
            <w:tcW w:w="2177" w:type="dxa"/>
          </w:tcPr>
          <w:p w14:paraId="2CFE6240" w14:textId="27330258" w:rsidR="001D695B" w:rsidRDefault="001D695B" w:rsidP="00C636F3">
            <w:r>
              <w:t>Development Security</w:t>
            </w:r>
          </w:p>
        </w:tc>
        <w:tc>
          <w:tcPr>
            <w:tcW w:w="7173" w:type="dxa"/>
          </w:tcPr>
          <w:p w14:paraId="360BF24A" w14:textId="6C7D2A66" w:rsidR="001D695B" w:rsidRDefault="001D695B" w:rsidP="00C636F3">
            <w:r>
              <w:t xml:space="preserve">Contractor </w:t>
            </w:r>
            <w:r w:rsidRPr="003E401F">
              <w:t>will</w:t>
            </w:r>
            <w:r>
              <w:t xml:space="preserve"> be required to post</w:t>
            </w:r>
            <w:r w:rsidR="0056333D">
              <w:t xml:space="preserve"> </w:t>
            </w:r>
            <w:r w:rsidR="002450C6">
              <w:t xml:space="preserve">a letter of credit or </w:t>
            </w:r>
            <w:r w:rsidR="0056333D">
              <w:t xml:space="preserve">a </w:t>
            </w:r>
            <w:r w:rsidR="002450C6">
              <w:t>performance &amp; payment bond.</w:t>
            </w:r>
            <w:r>
              <w:t xml:space="preserve"> </w:t>
            </w:r>
            <w:r w:rsidR="002450C6">
              <w:t xml:space="preserve">Contractor to provide estimated impacts on contract price </w:t>
            </w:r>
            <w:r w:rsidR="0056333D">
              <w:t xml:space="preserve">for both forms of security </w:t>
            </w:r>
            <w:r w:rsidR="002450C6">
              <w:t xml:space="preserve">in the Proposal Form.  </w:t>
            </w:r>
            <w:r>
              <w:t xml:space="preserve">  </w:t>
            </w:r>
          </w:p>
        </w:tc>
      </w:tr>
      <w:tr w:rsidR="001D695B" w14:paraId="6AA17BD0" w14:textId="77777777" w:rsidTr="69717292">
        <w:tc>
          <w:tcPr>
            <w:tcW w:w="2177" w:type="dxa"/>
          </w:tcPr>
          <w:p w14:paraId="56644485" w14:textId="5366F991" w:rsidR="001D695B" w:rsidRDefault="001D695B" w:rsidP="00C636F3">
            <w:r>
              <w:t>Insurance</w:t>
            </w:r>
          </w:p>
        </w:tc>
        <w:tc>
          <w:tcPr>
            <w:tcW w:w="7173" w:type="dxa"/>
          </w:tcPr>
          <w:p w14:paraId="289CAD5F" w14:textId="1C02306A" w:rsidR="001D695B" w:rsidRDefault="001D695B" w:rsidP="00C636F3">
            <w:pPr>
              <w:ind w:left="-23"/>
              <w:rPr>
                <w:rFonts w:eastAsia="PMingLiU"/>
                <w:u w:val="single"/>
                <w:lang w:eastAsia="zh-TW"/>
              </w:rPr>
            </w:pPr>
            <w:r>
              <w:t xml:space="preserve">Contractor </w:t>
            </w:r>
            <w:r w:rsidR="00790ABE">
              <w:t>must</w:t>
            </w:r>
            <w:r w:rsidR="00311C9A">
              <w:t xml:space="preserve"> </w:t>
            </w:r>
            <w:r>
              <w:t xml:space="preserve">maintain the minimum insurance levels as specified below: </w:t>
            </w:r>
          </w:p>
          <w:p w14:paraId="15FB9A88" w14:textId="7535D282" w:rsidR="001D695B" w:rsidRDefault="001D695B" w:rsidP="00C636F3">
            <w:pPr>
              <w:ind w:left="-23"/>
              <w:rPr>
                <w:rFonts w:eastAsia="PMingLiU"/>
                <w:u w:val="single"/>
                <w:lang w:eastAsia="zh-TW"/>
              </w:rPr>
            </w:pPr>
          </w:p>
          <w:p w14:paraId="0EEE732D" w14:textId="4DC0D2A3" w:rsidR="001D695B" w:rsidRPr="00920F73" w:rsidRDefault="001D695B" w:rsidP="00C636F3">
            <w:pPr>
              <w:ind w:left="-23"/>
            </w:pPr>
            <w:r w:rsidRPr="00E06BC6">
              <w:rPr>
                <w:rFonts w:eastAsia="PMingLiU"/>
                <w:u w:val="single"/>
                <w:lang w:eastAsia="zh-TW"/>
              </w:rPr>
              <w:t>Commercial General Liability Insurance</w:t>
            </w:r>
            <w:r>
              <w:rPr>
                <w:rFonts w:eastAsia="PMingLiU"/>
                <w:u w:val="single"/>
                <w:lang w:eastAsia="zh-TW"/>
              </w:rPr>
              <w:t>:</w:t>
            </w:r>
            <w:r>
              <w:rPr>
                <w:rFonts w:eastAsia="PMingLiU"/>
                <w:lang w:eastAsia="zh-TW"/>
              </w:rPr>
              <w:t xml:space="preserve"> </w:t>
            </w:r>
            <w:r w:rsidRPr="00920F73">
              <w:t>Coverage shall be on an occurrence form with policy limits of not less than:</w:t>
            </w:r>
          </w:p>
          <w:p w14:paraId="6CC52C3C" w14:textId="139E6E43" w:rsidR="001D695B" w:rsidRPr="00920F73" w:rsidRDefault="001D695B" w:rsidP="00C636F3">
            <w:r w:rsidRPr="00920F73">
              <w:t>$1,000,000 Each Occurrence Bodily Injury &amp; Property Damage</w:t>
            </w:r>
          </w:p>
          <w:p w14:paraId="633EDE0D" w14:textId="46FF7D98" w:rsidR="001D695B" w:rsidRPr="00920F73" w:rsidRDefault="001D695B" w:rsidP="00C636F3">
            <w:r w:rsidRPr="00920F73">
              <w:t>$1,000,000 Personal &amp; Advertising Injury</w:t>
            </w:r>
          </w:p>
          <w:p w14:paraId="7DD9740F" w14:textId="67FCF7BC" w:rsidR="001D695B" w:rsidRPr="00920F73" w:rsidRDefault="001D695B" w:rsidP="00C636F3">
            <w:r w:rsidRPr="00920F73">
              <w:t xml:space="preserve">$2,000,000 General Aggregate to apply on a Per Project </w:t>
            </w:r>
            <w:proofErr w:type="gramStart"/>
            <w:r w:rsidRPr="00920F73">
              <w:t>basis</w:t>
            </w:r>
            <w:proofErr w:type="gramEnd"/>
          </w:p>
          <w:p w14:paraId="1A464D67" w14:textId="45009D68" w:rsidR="001D695B" w:rsidRDefault="001D695B" w:rsidP="00C636F3">
            <w:r w:rsidRPr="00920F73">
              <w:t>$2,000,000 Products/Completed Operations Aggregate</w:t>
            </w:r>
          </w:p>
          <w:p w14:paraId="26900340" w14:textId="43A37DDE" w:rsidR="001D695B" w:rsidRDefault="001D695B" w:rsidP="00C636F3"/>
          <w:p w14:paraId="1969D885" w14:textId="2485BCFA" w:rsidR="001D695B" w:rsidRDefault="001D695B" w:rsidP="00C636F3">
            <w:pPr>
              <w:rPr>
                <w:rFonts w:eastAsia="PMingLiU"/>
                <w:u w:val="single"/>
                <w:lang w:eastAsia="zh-TW"/>
              </w:rPr>
            </w:pPr>
            <w:r w:rsidRPr="00E06BC6">
              <w:rPr>
                <w:rFonts w:eastAsia="PMingLiU"/>
                <w:u w:val="single"/>
                <w:lang w:eastAsia="zh-TW"/>
              </w:rPr>
              <w:t>Business Auto Liability Insurance</w:t>
            </w:r>
            <w:r>
              <w:rPr>
                <w:rFonts w:eastAsia="PMingLiU"/>
                <w:u w:val="single"/>
                <w:lang w:eastAsia="zh-TW"/>
              </w:rPr>
              <w:t>:</w:t>
            </w:r>
          </w:p>
          <w:p w14:paraId="386FF8F3" w14:textId="1D96198C" w:rsidR="001D695B" w:rsidRPr="007633FC" w:rsidRDefault="001D695B" w:rsidP="00C636F3">
            <w:pPr>
              <w:ind w:left="-14"/>
              <w:rPr>
                <w:rFonts w:eastAsia="PMingLiU"/>
                <w:lang w:eastAsia="zh-TW"/>
              </w:rPr>
            </w:pPr>
            <w:r w:rsidRPr="007633FC">
              <w:rPr>
                <w:rFonts w:eastAsia="PMingLiU"/>
                <w:lang w:eastAsia="zh-TW"/>
              </w:rPr>
              <w:t>$1,000,000 per accident for bodily injury and property damage</w:t>
            </w:r>
          </w:p>
          <w:p w14:paraId="2347DEE0" w14:textId="225EDACA" w:rsidR="001D695B" w:rsidRPr="00920F73" w:rsidRDefault="001D695B" w:rsidP="00C636F3"/>
          <w:p w14:paraId="4AEC2A20" w14:textId="7BE38688" w:rsidR="00CE2218" w:rsidRDefault="001D695B" w:rsidP="00311C9A">
            <w:pPr>
              <w:rPr>
                <w:rFonts w:eastAsia="PMingLiU"/>
                <w:lang w:eastAsia="zh-TW"/>
              </w:rPr>
            </w:pPr>
            <w:r w:rsidRPr="00E06BC6">
              <w:rPr>
                <w:rFonts w:eastAsia="PMingLiU"/>
                <w:u w:val="single"/>
                <w:lang w:eastAsia="zh-TW"/>
              </w:rPr>
              <w:t>Workers’ Compensation and Employers’ Liability-Stop Gap</w:t>
            </w:r>
            <w:r>
              <w:rPr>
                <w:rFonts w:eastAsia="PMingLiU"/>
                <w:u w:val="single"/>
                <w:lang w:eastAsia="zh-TW"/>
              </w:rPr>
              <w:t xml:space="preserve"> Insurance</w:t>
            </w:r>
            <w:r w:rsidR="00234BFF">
              <w:rPr>
                <w:rFonts w:eastAsia="PMingLiU"/>
                <w:u w:val="single"/>
                <w:lang w:eastAsia="zh-TW"/>
              </w:rPr>
              <w:t xml:space="preserve"> </w:t>
            </w:r>
            <w:r w:rsidR="00790ABE">
              <w:rPr>
                <w:rFonts w:eastAsia="PMingLiU"/>
                <w:lang w:eastAsia="zh-TW"/>
              </w:rPr>
              <w:t>in compliance with applicable law</w:t>
            </w:r>
            <w:r w:rsidR="00CE2218">
              <w:rPr>
                <w:rFonts w:eastAsia="PMingLiU"/>
                <w:lang w:eastAsia="zh-TW"/>
              </w:rPr>
              <w:t xml:space="preserve"> and </w:t>
            </w:r>
            <w:r w:rsidR="00234BFF">
              <w:rPr>
                <w:rFonts w:eastAsia="PMingLiU"/>
                <w:lang w:eastAsia="zh-TW"/>
              </w:rPr>
              <w:t xml:space="preserve">with policy limits of </w:t>
            </w:r>
            <w:r w:rsidR="00CE2218">
              <w:rPr>
                <w:rFonts w:eastAsia="PMingLiU"/>
                <w:lang w:eastAsia="zh-TW"/>
              </w:rPr>
              <w:t xml:space="preserve">no less than: </w:t>
            </w:r>
          </w:p>
          <w:p w14:paraId="107004FC" w14:textId="30EF00C2" w:rsidR="001D695B" w:rsidRPr="007633FC" w:rsidRDefault="001D695B" w:rsidP="00C636F3">
            <w:pPr>
              <w:ind w:left="-14"/>
              <w:rPr>
                <w:rFonts w:eastAsia="PMingLiU"/>
                <w:lang w:eastAsia="zh-TW"/>
              </w:rPr>
            </w:pPr>
            <w:r w:rsidRPr="007633FC">
              <w:rPr>
                <w:rFonts w:eastAsia="PMingLiU"/>
                <w:lang w:eastAsia="zh-TW"/>
              </w:rPr>
              <w:t>$1,000,000 Bodily Injury by Accident – Each Accident</w:t>
            </w:r>
          </w:p>
          <w:p w14:paraId="347BFA29" w14:textId="45017343" w:rsidR="001D695B" w:rsidRPr="007633FC" w:rsidRDefault="001D695B" w:rsidP="00C636F3">
            <w:pPr>
              <w:ind w:left="-14"/>
              <w:rPr>
                <w:rFonts w:eastAsia="PMingLiU"/>
                <w:lang w:eastAsia="zh-TW"/>
              </w:rPr>
            </w:pPr>
            <w:r w:rsidRPr="007633FC">
              <w:rPr>
                <w:rFonts w:eastAsia="PMingLiU"/>
                <w:lang w:eastAsia="zh-TW"/>
              </w:rPr>
              <w:t>$1,000,000 Bodily Injury by Disease – Total Limit</w:t>
            </w:r>
          </w:p>
          <w:p w14:paraId="1338BCBB" w14:textId="654400F9" w:rsidR="001D695B" w:rsidRDefault="001D695B" w:rsidP="00C636F3">
            <w:pPr>
              <w:ind w:left="-14"/>
              <w:rPr>
                <w:rFonts w:eastAsia="PMingLiU"/>
                <w:lang w:eastAsia="zh-TW"/>
              </w:rPr>
            </w:pPr>
            <w:r w:rsidRPr="007633FC">
              <w:rPr>
                <w:rFonts w:eastAsia="PMingLiU"/>
                <w:lang w:eastAsia="zh-TW"/>
              </w:rPr>
              <w:t>$1,000,000 Bodily Injury by Disease – Each Employee</w:t>
            </w:r>
          </w:p>
          <w:p w14:paraId="0D94E5F6" w14:textId="77777777" w:rsidR="00CE2218" w:rsidRDefault="00CE2218" w:rsidP="00C636F3">
            <w:pPr>
              <w:ind w:left="-14"/>
              <w:rPr>
                <w:rFonts w:eastAsia="PMingLiU"/>
                <w:lang w:eastAsia="zh-TW"/>
              </w:rPr>
            </w:pPr>
          </w:p>
          <w:p w14:paraId="4E88062A" w14:textId="1BEF8453" w:rsidR="00790ABE" w:rsidRDefault="00790ABE" w:rsidP="00C636F3">
            <w:pPr>
              <w:ind w:left="-14"/>
              <w:rPr>
                <w:rFonts w:eastAsia="PMingLiU"/>
                <w:lang w:eastAsia="zh-TW"/>
              </w:rPr>
            </w:pPr>
            <w:r w:rsidRPr="00311C9A">
              <w:rPr>
                <w:rFonts w:eastAsia="PMingLiU"/>
                <w:u w:val="single"/>
                <w:lang w:eastAsia="zh-TW"/>
              </w:rPr>
              <w:t>Professional Liability/Errors &amp; Omissions</w:t>
            </w:r>
            <w:r>
              <w:rPr>
                <w:rFonts w:eastAsia="PMingLiU"/>
                <w:lang w:eastAsia="zh-TW"/>
              </w:rPr>
              <w:t xml:space="preserve">: </w:t>
            </w:r>
          </w:p>
          <w:p w14:paraId="61820536" w14:textId="4918D959" w:rsidR="00790ABE" w:rsidRDefault="00790ABE" w:rsidP="00C636F3">
            <w:pPr>
              <w:ind w:left="-14"/>
              <w:rPr>
                <w:rFonts w:eastAsia="PMingLiU"/>
                <w:lang w:eastAsia="zh-TW"/>
              </w:rPr>
            </w:pPr>
            <w:r>
              <w:rPr>
                <w:rFonts w:eastAsia="PMingLiU"/>
                <w:lang w:eastAsia="zh-TW"/>
              </w:rPr>
              <w:t>$10,000,000/claim; $10,000,000 aggregate</w:t>
            </w:r>
          </w:p>
          <w:p w14:paraId="680D824B" w14:textId="77777777" w:rsidR="00790ABE" w:rsidRDefault="00790ABE" w:rsidP="00C636F3">
            <w:pPr>
              <w:ind w:left="-14"/>
              <w:rPr>
                <w:rFonts w:eastAsia="PMingLiU"/>
                <w:lang w:eastAsia="zh-TW"/>
              </w:rPr>
            </w:pPr>
          </w:p>
          <w:p w14:paraId="30AA61A2" w14:textId="7B1F61DC" w:rsidR="00790ABE" w:rsidRDefault="00790ABE" w:rsidP="00C636F3">
            <w:pPr>
              <w:ind w:left="-14"/>
              <w:rPr>
                <w:rFonts w:eastAsia="PMingLiU"/>
                <w:lang w:eastAsia="zh-TW"/>
              </w:rPr>
            </w:pPr>
            <w:r w:rsidRPr="00311C9A">
              <w:rPr>
                <w:rFonts w:eastAsia="PMingLiU"/>
                <w:u w:val="single"/>
                <w:lang w:eastAsia="zh-TW"/>
              </w:rPr>
              <w:t>Builders’ All-Risk Insurance</w:t>
            </w:r>
          </w:p>
          <w:p w14:paraId="44D62BE4" w14:textId="3429BD16" w:rsidR="001D695B" w:rsidRDefault="001D695B" w:rsidP="00C636F3"/>
          <w:p w14:paraId="71C64469" w14:textId="7D332D4F" w:rsidR="001D695B" w:rsidRDefault="001D695B" w:rsidP="00C636F3">
            <w:pPr>
              <w:rPr>
                <w:rFonts w:eastAsia="PMingLiU"/>
                <w:lang w:eastAsia="zh-TW"/>
              </w:rPr>
            </w:pPr>
            <w:r w:rsidRPr="00E06BC6">
              <w:rPr>
                <w:rFonts w:eastAsia="PMingLiU"/>
                <w:u w:val="single"/>
                <w:lang w:eastAsia="zh-TW"/>
              </w:rPr>
              <w:t>Commercial Umbrella or Excess Liability Insurance</w:t>
            </w:r>
            <w:r>
              <w:rPr>
                <w:rFonts w:eastAsia="PMingLiU"/>
                <w:lang w:eastAsia="zh-TW"/>
              </w:rPr>
              <w:t>:</w:t>
            </w:r>
          </w:p>
          <w:p w14:paraId="18452882" w14:textId="4B2CC4FE" w:rsidR="001D695B" w:rsidRPr="007633FC" w:rsidRDefault="001D695B" w:rsidP="00C636F3">
            <w:pPr>
              <w:rPr>
                <w:rFonts w:eastAsia="PMingLiU"/>
                <w:lang w:eastAsia="zh-TW"/>
              </w:rPr>
            </w:pPr>
            <w:r w:rsidRPr="007633FC">
              <w:rPr>
                <w:rFonts w:eastAsia="PMingLiU"/>
                <w:lang w:eastAsia="zh-TW"/>
              </w:rPr>
              <w:t>$10,000,000 Each Occurrence</w:t>
            </w:r>
          </w:p>
          <w:p w14:paraId="302FB44E" w14:textId="5ABE695A" w:rsidR="001D695B" w:rsidRPr="007633FC" w:rsidRDefault="001D695B" w:rsidP="00C636F3">
            <w:pPr>
              <w:rPr>
                <w:rFonts w:eastAsia="PMingLiU"/>
                <w:lang w:eastAsia="zh-TW"/>
              </w:rPr>
            </w:pPr>
            <w:r w:rsidRPr="007633FC">
              <w:rPr>
                <w:rFonts w:eastAsia="PMingLiU"/>
                <w:lang w:eastAsia="zh-TW"/>
              </w:rPr>
              <w:lastRenderedPageBreak/>
              <w:t>$10,000,000 Personal &amp; Advertising Injury</w:t>
            </w:r>
          </w:p>
          <w:p w14:paraId="0F5593CE" w14:textId="77777777" w:rsidR="001D695B" w:rsidRDefault="001D695B" w:rsidP="00C636F3">
            <w:pPr>
              <w:rPr>
                <w:rFonts w:eastAsia="PMingLiU"/>
                <w:lang w:eastAsia="zh-TW"/>
              </w:rPr>
            </w:pPr>
            <w:r w:rsidRPr="007633FC">
              <w:rPr>
                <w:rFonts w:eastAsia="PMingLiU"/>
                <w:lang w:eastAsia="zh-TW"/>
              </w:rPr>
              <w:t>$10,000,000 Aggregate (where applicable, following the terms of the underlying)</w:t>
            </w:r>
          </w:p>
          <w:p w14:paraId="4F444EFE" w14:textId="77777777" w:rsidR="00790ABE" w:rsidRDefault="00790ABE" w:rsidP="00C636F3"/>
          <w:p w14:paraId="5FA57C61" w14:textId="66453689" w:rsidR="00790ABE" w:rsidRDefault="00790ABE" w:rsidP="00C636F3">
            <w:r>
              <w:t>Such policies shall name PCE and each of the project site hosts as additional insureds.</w:t>
            </w:r>
          </w:p>
        </w:tc>
      </w:tr>
      <w:tr w:rsidR="001D695B" w14:paraId="6E4E2ABD" w14:textId="77777777" w:rsidTr="69717292">
        <w:tc>
          <w:tcPr>
            <w:tcW w:w="2177" w:type="dxa"/>
          </w:tcPr>
          <w:p w14:paraId="46544C99" w14:textId="1CC925AC" w:rsidR="001D695B" w:rsidRDefault="00321414" w:rsidP="00C636F3">
            <w:r>
              <w:lastRenderedPageBreak/>
              <w:t>Equipment</w:t>
            </w:r>
          </w:p>
        </w:tc>
        <w:tc>
          <w:tcPr>
            <w:tcW w:w="7173" w:type="dxa"/>
          </w:tcPr>
          <w:p w14:paraId="6420C8EB" w14:textId="77777777" w:rsidR="00321414" w:rsidRDefault="00321414" w:rsidP="00321414">
            <w:r w:rsidRPr="00321414">
              <w:t xml:space="preserve">Solar panels shall be on the </w:t>
            </w:r>
            <w:proofErr w:type="spellStart"/>
            <w:r w:rsidRPr="00321414">
              <w:t>BloombergNEF</w:t>
            </w:r>
            <w:proofErr w:type="spellEnd"/>
            <w:r w:rsidRPr="00321414">
              <w:t xml:space="preserve"> PV Module Tier 1 List, of </w:t>
            </w:r>
            <w:proofErr w:type="spellStart"/>
            <w:r w:rsidRPr="00321414">
              <w:t>Maxeon</w:t>
            </w:r>
            <w:proofErr w:type="spellEnd"/>
            <w:r w:rsidRPr="00321414">
              <w:t xml:space="preserve"> make, or modules of equivalent quality and warranty terms approved in writing by PCE.</w:t>
            </w:r>
          </w:p>
          <w:p w14:paraId="17401137" w14:textId="46B1C539" w:rsidR="00321414" w:rsidRDefault="00321414" w:rsidP="00321414">
            <w:r w:rsidRPr="00321414">
              <w:t xml:space="preserve">Inverters shall be of </w:t>
            </w:r>
            <w:proofErr w:type="spellStart"/>
            <w:r w:rsidRPr="00321414">
              <w:t>Solaredge</w:t>
            </w:r>
            <w:proofErr w:type="spellEnd"/>
            <w:r w:rsidRPr="00321414">
              <w:t xml:space="preserve"> make-or inverters of equivalent quality and warranty terms approved in writing by PCE with integrated fleet monitoring </w:t>
            </w:r>
            <w:proofErr w:type="gramStart"/>
            <w:r w:rsidRPr="00321414">
              <w:t>capabilities</w:t>
            </w:r>
            <w:proofErr w:type="gramEnd"/>
          </w:p>
          <w:p w14:paraId="6658DCB0" w14:textId="77777777" w:rsidR="00666565" w:rsidRPr="00321414" w:rsidRDefault="00666565" w:rsidP="00321414"/>
          <w:p w14:paraId="603398F4" w14:textId="77777777" w:rsidR="00A24932" w:rsidRDefault="001D695B" w:rsidP="00C636F3">
            <w:r>
              <w:t>Systems shall be equipped with revenue grade metering</w:t>
            </w:r>
            <w:r w:rsidR="00A24932">
              <w:t>.</w:t>
            </w:r>
          </w:p>
          <w:p w14:paraId="413E0F2E" w14:textId="77777777" w:rsidR="00666565" w:rsidRDefault="00666565" w:rsidP="00C636F3"/>
          <w:p w14:paraId="2B0B5F27" w14:textId="64328799" w:rsidR="001D695B" w:rsidRDefault="00A24932" w:rsidP="00A24932">
            <w:r>
              <w:t xml:space="preserve">Contractor shall </w:t>
            </w:r>
            <w:r w:rsidRPr="00A24932">
              <w:t xml:space="preserve">cooperate </w:t>
            </w:r>
            <w:r>
              <w:t xml:space="preserve">with PCE </w:t>
            </w:r>
            <w:r w:rsidRPr="00A24932">
              <w:t xml:space="preserve">to determine whether </w:t>
            </w:r>
            <w:r>
              <w:t xml:space="preserve">equipment will enable PCE to </w:t>
            </w:r>
            <w:r w:rsidRPr="00A24932">
              <w:t xml:space="preserve">qualify for the additional ten percent (10%) domestic content requirements </w:t>
            </w:r>
            <w:r>
              <w:t>under the Inflation Reduction Act.</w:t>
            </w:r>
          </w:p>
        </w:tc>
      </w:tr>
      <w:tr w:rsidR="001D695B" w14:paraId="288BBE6B" w14:textId="77777777" w:rsidTr="69717292">
        <w:tc>
          <w:tcPr>
            <w:tcW w:w="2177" w:type="dxa"/>
          </w:tcPr>
          <w:p w14:paraId="446140A0" w14:textId="22E6D547" w:rsidR="001D695B" w:rsidRDefault="001D695B" w:rsidP="00C636F3">
            <w:r>
              <w:t>Remote monitoring and communications</w:t>
            </w:r>
          </w:p>
        </w:tc>
        <w:tc>
          <w:tcPr>
            <w:tcW w:w="7173" w:type="dxa"/>
          </w:tcPr>
          <w:p w14:paraId="61F90042" w14:textId="35A85B4C" w:rsidR="001D695B" w:rsidRDefault="001D695B" w:rsidP="00C636F3">
            <w:r>
              <w:t xml:space="preserve">Systems shall be remotely accessible by PCE and the end customer to obtain real-time and historical operations and performance information.  Data should be downloadable in common industry standard formats at a minimum of 15-minute intervals.  </w:t>
            </w:r>
          </w:p>
        </w:tc>
      </w:tr>
      <w:tr w:rsidR="001D695B" w14:paraId="259E564C" w14:textId="77777777" w:rsidTr="69717292">
        <w:tc>
          <w:tcPr>
            <w:tcW w:w="2177" w:type="dxa"/>
          </w:tcPr>
          <w:p w14:paraId="076AFF65" w14:textId="16C33406" w:rsidR="001D695B" w:rsidRDefault="001D695B" w:rsidP="00C636F3">
            <w:r>
              <w:t>Performance Guarantee</w:t>
            </w:r>
          </w:p>
        </w:tc>
        <w:tc>
          <w:tcPr>
            <w:tcW w:w="7173" w:type="dxa"/>
          </w:tcPr>
          <w:p w14:paraId="2ED467C9" w14:textId="092B5197" w:rsidR="001D695B" w:rsidRDefault="00311C9A" w:rsidP="00C636F3">
            <w:r>
              <w:t xml:space="preserve">PCE is seeking bids that include </w:t>
            </w:r>
            <w:r w:rsidR="001D695B">
              <w:t xml:space="preserve">a minimum </w:t>
            </w:r>
            <w:r w:rsidR="00666565">
              <w:t xml:space="preserve">solar </w:t>
            </w:r>
            <w:r w:rsidR="001D695B">
              <w:t>energy production guarantee</w:t>
            </w:r>
            <w:r w:rsidR="00321414">
              <w:t xml:space="preserve"> of no less than 95% of expected performance</w:t>
            </w:r>
            <w:r w:rsidR="001D695B">
              <w:t xml:space="preserve">.  Battery energy storage systems shall have a minimum uptime guarantee and a minimum </w:t>
            </w:r>
            <w:proofErr w:type="gramStart"/>
            <w:r w:rsidR="001D695B">
              <w:t>round trip</w:t>
            </w:r>
            <w:proofErr w:type="gramEnd"/>
            <w:r w:rsidR="001D695B">
              <w:t xml:space="preserve"> efficiency. Battery energy storage systems need to be able to complete one full cycle per day.  Details of these guarantees must be specified in Contractor’s proposal</w:t>
            </w:r>
            <w:r w:rsidR="00321414">
              <w:t>.</w:t>
            </w:r>
          </w:p>
        </w:tc>
      </w:tr>
      <w:tr w:rsidR="00321414" w14:paraId="5A1638E1" w14:textId="77777777" w:rsidTr="69717292">
        <w:tc>
          <w:tcPr>
            <w:tcW w:w="2177" w:type="dxa"/>
          </w:tcPr>
          <w:p w14:paraId="68ECAC03" w14:textId="5600A7D4" w:rsidR="00321414" w:rsidRDefault="00321414" w:rsidP="00321414">
            <w:r>
              <w:t>Operations and Maintenance</w:t>
            </w:r>
          </w:p>
        </w:tc>
        <w:tc>
          <w:tcPr>
            <w:tcW w:w="7173" w:type="dxa"/>
          </w:tcPr>
          <w:p w14:paraId="5A8FCF72" w14:textId="44FC1B74" w:rsidR="00321414" w:rsidRDefault="00321414" w:rsidP="00321414">
            <w:r>
              <w:t xml:space="preserve">PCE would like Contractors to provide a bid for Operations and Maintenance services for the Systems for a minimum of 5 years following PTO of Systems, </w:t>
            </w:r>
            <w:proofErr w:type="gramStart"/>
            <w:r>
              <w:t>provided that</w:t>
            </w:r>
            <w:proofErr w:type="gramEnd"/>
            <w:r>
              <w:t xml:space="preserve"> Contractor provides such services.  These services shall at a minimum include regular and preventive maintenance, unscheduled maintenance as required, warranty service, </w:t>
            </w:r>
            <w:r w:rsidR="00666565">
              <w:t xml:space="preserve">and </w:t>
            </w:r>
            <w:r>
              <w:t>performance and alarm monitoring</w:t>
            </w:r>
            <w:r w:rsidR="00234BFF">
              <w:t>.</w:t>
            </w:r>
          </w:p>
        </w:tc>
      </w:tr>
      <w:tr w:rsidR="00321414" w14:paraId="7728E2F9" w14:textId="77777777" w:rsidTr="69717292">
        <w:tc>
          <w:tcPr>
            <w:tcW w:w="2177" w:type="dxa"/>
          </w:tcPr>
          <w:p w14:paraId="336E4996" w14:textId="0F526FBF" w:rsidR="00321414" w:rsidRDefault="00321414" w:rsidP="00321414">
            <w:r>
              <w:t>Equipment Warranties</w:t>
            </w:r>
          </w:p>
        </w:tc>
        <w:tc>
          <w:tcPr>
            <w:tcW w:w="7173" w:type="dxa"/>
          </w:tcPr>
          <w:p w14:paraId="4E30C8C0" w14:textId="5E8BDE34" w:rsidR="00321414" w:rsidRDefault="00321414" w:rsidP="00321414">
            <w:r>
              <w:t xml:space="preserve">Contractor will specify equipment warranties in its Proposal and </w:t>
            </w:r>
            <w:r w:rsidR="00311C9A">
              <w:t xml:space="preserve">enforce </w:t>
            </w:r>
            <w:r>
              <w:t>OEM warranties on behalf of PCE for a minimum of 5 years following execution of a final agreement.</w:t>
            </w:r>
          </w:p>
          <w:p w14:paraId="2909C720" w14:textId="46DF199A" w:rsidR="00321414" w:rsidRDefault="00321414" w:rsidP="00321414"/>
        </w:tc>
      </w:tr>
      <w:tr w:rsidR="00321414" w14:paraId="33561BF0" w14:textId="77777777" w:rsidTr="69717292">
        <w:tc>
          <w:tcPr>
            <w:tcW w:w="2177" w:type="dxa"/>
          </w:tcPr>
          <w:p w14:paraId="71DA0401" w14:textId="23ACF57B" w:rsidR="00321414" w:rsidRDefault="00321414" w:rsidP="00321414">
            <w:r>
              <w:t>Workmanship Warranties</w:t>
            </w:r>
          </w:p>
        </w:tc>
        <w:tc>
          <w:tcPr>
            <w:tcW w:w="7173" w:type="dxa"/>
          </w:tcPr>
          <w:p w14:paraId="53D87D92" w14:textId="2F8E82D8" w:rsidR="00321414" w:rsidRDefault="00321414" w:rsidP="00321414">
            <w:r>
              <w:t>Contractor will warrant that equipment is new and free of defects</w:t>
            </w:r>
            <w:r w:rsidR="00FB439B">
              <w:t xml:space="preserve"> in design, materials and workmanship</w:t>
            </w:r>
            <w:r>
              <w:t xml:space="preserve">, </w:t>
            </w:r>
            <w:r w:rsidR="00FB439B">
              <w:t xml:space="preserve">constructed in a good &amp; workmanlike manner, </w:t>
            </w:r>
            <w:r>
              <w:t>properly tested and functioning, and compliant with all laws and regulations</w:t>
            </w:r>
            <w:r w:rsidR="00FB439B">
              <w:t xml:space="preserve"> and standard solar industry practices</w:t>
            </w:r>
            <w:r>
              <w:t xml:space="preserve">.  Contract will warrant its workmanship for 10 years.  </w:t>
            </w:r>
          </w:p>
        </w:tc>
      </w:tr>
      <w:tr w:rsidR="00321414" w14:paraId="4E72D74A" w14:textId="77777777" w:rsidTr="69717292">
        <w:tc>
          <w:tcPr>
            <w:tcW w:w="2177" w:type="dxa"/>
          </w:tcPr>
          <w:p w14:paraId="4F4A0752" w14:textId="3C0763A8" w:rsidR="00321414" w:rsidRDefault="00321414" w:rsidP="00321414">
            <w:r>
              <w:lastRenderedPageBreak/>
              <w:t>Prevailing Wage Labor</w:t>
            </w:r>
          </w:p>
        </w:tc>
        <w:tc>
          <w:tcPr>
            <w:tcW w:w="7173" w:type="dxa"/>
          </w:tcPr>
          <w:p w14:paraId="6607A5DC" w14:textId="606FE5FD" w:rsidR="00321414" w:rsidRPr="29C884A8" w:rsidRDefault="008C1B56" w:rsidP="008C1B56">
            <w:pPr>
              <w:rPr>
                <w:rFonts w:eastAsia="PMingLiU"/>
                <w:lang w:eastAsia="zh-TW"/>
              </w:rPr>
            </w:pPr>
            <w:r w:rsidRPr="008C1B56">
              <w:rPr>
                <w:rFonts w:eastAsia="PMingLiU"/>
                <w:lang w:eastAsia="zh-TW"/>
              </w:rPr>
              <w:t xml:space="preserve">The Services contemplated under this procurement include “public works.” </w:t>
            </w:r>
            <w:r w:rsidR="00321414">
              <w:rPr>
                <w:rFonts w:eastAsia="PMingLiU"/>
                <w:lang w:eastAsia="zh-TW"/>
              </w:rPr>
              <w:t xml:space="preserve">Contractor </w:t>
            </w:r>
            <w:r>
              <w:rPr>
                <w:rFonts w:eastAsia="PMingLiU"/>
                <w:lang w:eastAsia="zh-TW"/>
              </w:rPr>
              <w:t>shall comply with California prevailing wage law as applicable to an awarding body</w:t>
            </w:r>
            <w:r w:rsidR="00321414">
              <w:rPr>
                <w:rFonts w:eastAsia="PMingLiU"/>
                <w:lang w:eastAsia="zh-TW"/>
              </w:rPr>
              <w:t>.</w:t>
            </w:r>
            <w:r>
              <w:rPr>
                <w:rFonts w:eastAsia="PMingLiU"/>
                <w:lang w:eastAsia="zh-TW"/>
              </w:rPr>
              <w:t xml:space="preserve"> </w:t>
            </w:r>
            <w:r w:rsidRPr="008C1B56">
              <w:rPr>
                <w:rFonts w:eastAsia="PMingLiU"/>
                <w:lang w:eastAsia="zh-TW"/>
              </w:rPr>
              <w:t xml:space="preserve">Contractor acknowledges that </w:t>
            </w:r>
            <w:r>
              <w:rPr>
                <w:rFonts w:eastAsia="PMingLiU"/>
                <w:lang w:eastAsia="zh-TW"/>
              </w:rPr>
              <w:t xml:space="preserve">PCE </w:t>
            </w:r>
            <w:r w:rsidRPr="008C1B56">
              <w:rPr>
                <w:rFonts w:eastAsia="PMingLiU"/>
                <w:lang w:eastAsia="zh-TW"/>
              </w:rPr>
              <w:t>intends to utilize the maximum amount of investment tax credits and production tax credits available under the Inflation Reduction Act of 2022</w:t>
            </w:r>
            <w:r>
              <w:rPr>
                <w:rFonts w:eastAsia="PMingLiU"/>
                <w:lang w:eastAsia="zh-TW"/>
              </w:rPr>
              <w:t xml:space="preserve">. </w:t>
            </w:r>
            <w:r w:rsidR="00A24932">
              <w:rPr>
                <w:rFonts w:eastAsia="PMingLiU"/>
                <w:lang w:eastAsia="zh-TW"/>
              </w:rPr>
              <w:t xml:space="preserve">Accordingly, </w:t>
            </w:r>
            <w:r w:rsidRPr="008C1B56">
              <w:rPr>
                <w:rFonts w:eastAsia="PMingLiU"/>
                <w:lang w:eastAsia="zh-TW"/>
              </w:rPr>
              <w:t xml:space="preserve">Contractor </w:t>
            </w:r>
            <w:r>
              <w:rPr>
                <w:rFonts w:eastAsia="PMingLiU"/>
                <w:lang w:eastAsia="zh-TW"/>
              </w:rPr>
              <w:t xml:space="preserve">shall </w:t>
            </w:r>
            <w:r w:rsidRPr="008C1B56">
              <w:rPr>
                <w:rFonts w:eastAsia="PMingLiU"/>
                <w:lang w:eastAsia="zh-TW"/>
              </w:rPr>
              <w:t xml:space="preserve">comply with the </w:t>
            </w:r>
            <w:r w:rsidR="00311C9A">
              <w:rPr>
                <w:rFonts w:eastAsia="PMingLiU"/>
                <w:lang w:eastAsia="zh-TW"/>
              </w:rPr>
              <w:t>w</w:t>
            </w:r>
            <w:r w:rsidRPr="008C1B56">
              <w:rPr>
                <w:rFonts w:eastAsia="PMingLiU"/>
                <w:lang w:eastAsia="zh-TW"/>
              </w:rPr>
              <w:t xml:space="preserve">age and </w:t>
            </w:r>
            <w:r w:rsidR="00311C9A">
              <w:rPr>
                <w:rFonts w:eastAsia="PMingLiU"/>
                <w:lang w:eastAsia="zh-TW"/>
              </w:rPr>
              <w:t>a</w:t>
            </w:r>
            <w:r w:rsidRPr="008C1B56">
              <w:rPr>
                <w:rFonts w:eastAsia="PMingLiU"/>
                <w:lang w:eastAsia="zh-TW"/>
              </w:rPr>
              <w:t>pprenticeship Requirements set</w:t>
            </w:r>
            <w:r w:rsidR="00311C9A">
              <w:rPr>
                <w:rFonts w:eastAsia="PMingLiU"/>
                <w:lang w:eastAsia="zh-TW"/>
              </w:rPr>
              <w:t xml:space="preserve"> by applicable Internal Revenue Code and IRS requirements. </w:t>
            </w:r>
          </w:p>
        </w:tc>
      </w:tr>
      <w:tr w:rsidR="00321414" w14:paraId="0A475FB6" w14:textId="77777777" w:rsidTr="69717292">
        <w:tc>
          <w:tcPr>
            <w:tcW w:w="2177" w:type="dxa"/>
          </w:tcPr>
          <w:p w14:paraId="4F50F6E4" w14:textId="0F029440" w:rsidR="00321414" w:rsidRDefault="00321414" w:rsidP="00321414">
            <w:r>
              <w:t>Subcontractors</w:t>
            </w:r>
          </w:p>
        </w:tc>
        <w:tc>
          <w:tcPr>
            <w:tcW w:w="7173" w:type="dxa"/>
          </w:tcPr>
          <w:p w14:paraId="701C5720" w14:textId="4A542534" w:rsidR="00321414" w:rsidRDefault="00321414" w:rsidP="00321414">
            <w:pPr>
              <w:rPr>
                <w:rFonts w:eastAsia="PMingLiU"/>
                <w:lang w:eastAsia="zh-TW"/>
              </w:rPr>
            </w:pPr>
            <w:r>
              <w:rPr>
                <w:rFonts w:eastAsia="PMingLiU"/>
                <w:lang w:eastAsia="zh-TW"/>
              </w:rPr>
              <w:t xml:space="preserve">Contractor may use subcontractors for the completion of the work, </w:t>
            </w:r>
            <w:proofErr w:type="gramStart"/>
            <w:r>
              <w:rPr>
                <w:rFonts w:eastAsia="PMingLiU"/>
                <w:lang w:eastAsia="zh-TW"/>
              </w:rPr>
              <w:t>provided that</w:t>
            </w:r>
            <w:proofErr w:type="gramEnd"/>
            <w:r>
              <w:rPr>
                <w:rFonts w:eastAsia="PMingLiU"/>
                <w:lang w:eastAsia="zh-TW"/>
              </w:rPr>
              <w:t xml:space="preserve"> subcontractors agree to all the provisions of the agreement between PCE and Contractor.  Subcontractors are subject to </w:t>
            </w:r>
            <w:r w:rsidR="008C1B56">
              <w:rPr>
                <w:rFonts w:eastAsia="PMingLiU"/>
                <w:lang w:eastAsia="zh-TW"/>
              </w:rPr>
              <w:t xml:space="preserve">advance, written </w:t>
            </w:r>
            <w:r>
              <w:rPr>
                <w:rFonts w:eastAsia="PMingLiU"/>
                <w:lang w:eastAsia="zh-TW"/>
              </w:rPr>
              <w:t>PCE approval, which shall not be unreasonably withheld.</w:t>
            </w:r>
          </w:p>
        </w:tc>
      </w:tr>
      <w:tr w:rsidR="00FB439B" w14:paraId="5CFF4049" w14:textId="77777777" w:rsidTr="69717292">
        <w:tc>
          <w:tcPr>
            <w:tcW w:w="2177" w:type="dxa"/>
          </w:tcPr>
          <w:p w14:paraId="3FE71AC1" w14:textId="68CBBA07" w:rsidR="00FB439B" w:rsidRDefault="00FB439B" w:rsidP="00321414">
            <w:r>
              <w:t>Liens</w:t>
            </w:r>
          </w:p>
        </w:tc>
        <w:tc>
          <w:tcPr>
            <w:tcW w:w="7173" w:type="dxa"/>
          </w:tcPr>
          <w:p w14:paraId="1FFA363B" w14:textId="78B9CC4B" w:rsidR="00FB439B" w:rsidRDefault="00FB439B" w:rsidP="00FB439B">
            <w:pPr>
              <w:rPr>
                <w:rFonts w:eastAsia="PMingLiU"/>
                <w:lang w:eastAsia="zh-TW"/>
              </w:rPr>
            </w:pPr>
            <w:r w:rsidRPr="00FB439B">
              <w:rPr>
                <w:rFonts w:eastAsia="PMingLiU"/>
                <w:lang w:eastAsia="zh-TW"/>
              </w:rPr>
              <w:t xml:space="preserve">Contractor shall under no circumstances </w:t>
            </w:r>
            <w:proofErr w:type="gramStart"/>
            <w:r w:rsidRPr="00FB439B">
              <w:rPr>
                <w:rFonts w:eastAsia="PMingLiU"/>
                <w:lang w:eastAsia="zh-TW"/>
              </w:rPr>
              <w:t>assert, or</w:t>
            </w:r>
            <w:proofErr w:type="gramEnd"/>
            <w:r w:rsidRPr="00FB439B">
              <w:rPr>
                <w:rFonts w:eastAsia="PMingLiU"/>
                <w:lang w:eastAsia="zh-TW"/>
              </w:rPr>
              <w:t xml:space="preserve"> permit any of its </w:t>
            </w:r>
            <w:r>
              <w:rPr>
                <w:rFonts w:eastAsia="PMingLiU"/>
                <w:lang w:eastAsia="zh-TW"/>
              </w:rPr>
              <w:t>s</w:t>
            </w:r>
            <w:r w:rsidRPr="00FB439B">
              <w:rPr>
                <w:rFonts w:eastAsia="PMingLiU"/>
                <w:lang w:eastAsia="zh-TW"/>
              </w:rPr>
              <w:t xml:space="preserve">ubcontractors or agents to assert, a </w:t>
            </w:r>
            <w:r>
              <w:rPr>
                <w:rFonts w:eastAsia="PMingLiU"/>
                <w:lang w:eastAsia="zh-TW"/>
              </w:rPr>
              <w:t>l</w:t>
            </w:r>
            <w:r w:rsidRPr="00FB439B">
              <w:rPr>
                <w:rFonts w:eastAsia="PMingLiU"/>
                <w:lang w:eastAsia="zh-TW"/>
              </w:rPr>
              <w:t xml:space="preserve">ien on the property of the </w:t>
            </w:r>
            <w:r>
              <w:rPr>
                <w:rFonts w:eastAsia="PMingLiU"/>
                <w:lang w:eastAsia="zh-TW"/>
              </w:rPr>
              <w:t>p</w:t>
            </w:r>
            <w:r w:rsidRPr="00FB439B">
              <w:rPr>
                <w:rFonts w:eastAsia="PMingLiU"/>
                <w:lang w:eastAsia="zh-TW"/>
              </w:rPr>
              <w:t xml:space="preserve">roject </w:t>
            </w:r>
            <w:r>
              <w:rPr>
                <w:rFonts w:eastAsia="PMingLiU"/>
                <w:lang w:eastAsia="zh-TW"/>
              </w:rPr>
              <w:t>s</w:t>
            </w:r>
            <w:r w:rsidRPr="00FB439B">
              <w:rPr>
                <w:rFonts w:eastAsia="PMingLiU"/>
                <w:lang w:eastAsia="zh-TW"/>
              </w:rPr>
              <w:t xml:space="preserve">ite </w:t>
            </w:r>
            <w:r>
              <w:rPr>
                <w:rFonts w:eastAsia="PMingLiU"/>
                <w:lang w:eastAsia="zh-TW"/>
              </w:rPr>
              <w:t>o</w:t>
            </w:r>
            <w:r w:rsidRPr="00FB439B">
              <w:rPr>
                <w:rFonts w:eastAsia="PMingLiU"/>
                <w:lang w:eastAsia="zh-TW"/>
              </w:rPr>
              <w:t>wners.</w:t>
            </w:r>
            <w:r>
              <w:rPr>
                <w:rFonts w:eastAsia="PMingLiU"/>
                <w:lang w:eastAsia="zh-TW"/>
              </w:rPr>
              <w:t xml:space="preserve"> All payment requests shall be accompanied by standard tender of waivers and release of liens.</w:t>
            </w:r>
          </w:p>
        </w:tc>
      </w:tr>
      <w:tr w:rsidR="00FB439B" w14:paraId="59C37462" w14:textId="77777777" w:rsidTr="69717292">
        <w:tc>
          <w:tcPr>
            <w:tcW w:w="2177" w:type="dxa"/>
          </w:tcPr>
          <w:p w14:paraId="400A1080" w14:textId="4B963FC2" w:rsidR="00FB439B" w:rsidRDefault="00FB439B" w:rsidP="00321414">
            <w:r>
              <w:t>Standard Terms &amp; Conditions</w:t>
            </w:r>
          </w:p>
        </w:tc>
        <w:tc>
          <w:tcPr>
            <w:tcW w:w="7173" w:type="dxa"/>
          </w:tcPr>
          <w:p w14:paraId="5D27C528" w14:textId="4310D239" w:rsidR="00FB439B" w:rsidRDefault="00FB439B" w:rsidP="00321414">
            <w:pPr>
              <w:rPr>
                <w:rFonts w:eastAsia="PMingLiU"/>
                <w:lang w:eastAsia="zh-TW"/>
              </w:rPr>
            </w:pPr>
            <w:r>
              <w:rPr>
                <w:rFonts w:eastAsia="PMingLiU"/>
                <w:lang w:eastAsia="zh-TW"/>
              </w:rPr>
              <w:t xml:space="preserve">Agreement subject to other standard terms &amp; conditions, including, but not limited to, performance of all services in compliance with applicable law, safety standards, mutual approval of change </w:t>
            </w:r>
            <w:proofErr w:type="gramStart"/>
            <w:r>
              <w:rPr>
                <w:rFonts w:eastAsia="PMingLiU"/>
                <w:lang w:eastAsia="zh-TW"/>
              </w:rPr>
              <w:t>orders,  indemnification</w:t>
            </w:r>
            <w:proofErr w:type="gramEnd"/>
            <w:r>
              <w:rPr>
                <w:rFonts w:eastAsia="PMingLiU"/>
                <w:lang w:eastAsia="zh-TW"/>
              </w:rPr>
              <w:t xml:space="preserve"> by Contractor, representations and warranties</w:t>
            </w:r>
            <w:r w:rsidR="00A24932">
              <w:rPr>
                <w:rFonts w:eastAsia="PMingLiU"/>
                <w:lang w:eastAsia="zh-TW"/>
              </w:rPr>
              <w:t xml:space="preserve"> and reasonable force majeure provisions</w:t>
            </w:r>
            <w:r>
              <w:rPr>
                <w:rFonts w:eastAsia="PMingLiU"/>
                <w:lang w:eastAsia="zh-TW"/>
              </w:rPr>
              <w:t xml:space="preserve">. </w:t>
            </w:r>
          </w:p>
        </w:tc>
      </w:tr>
    </w:tbl>
    <w:p w14:paraId="67452BE7" w14:textId="164B5992" w:rsidR="00CC1C6C" w:rsidRDefault="00CC1C6C" w:rsidP="00CC1C6C">
      <w:r>
        <w:t xml:space="preserve">  </w:t>
      </w:r>
    </w:p>
    <w:sectPr w:rsidR="00CC1C6C">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6A28F" w14:textId="77777777" w:rsidR="00836553" w:rsidRDefault="00836553" w:rsidP="0013537A">
      <w:r>
        <w:separator/>
      </w:r>
    </w:p>
  </w:endnote>
  <w:endnote w:type="continuationSeparator" w:id="0">
    <w:p w14:paraId="0C1F192D" w14:textId="77777777" w:rsidR="00836553" w:rsidRDefault="00836553" w:rsidP="0013537A">
      <w:r>
        <w:continuationSeparator/>
      </w:r>
    </w:p>
  </w:endnote>
  <w:endnote w:type="continuationNotice" w:id="1">
    <w:p w14:paraId="73D6CA59" w14:textId="77777777" w:rsidR="00836553" w:rsidRDefault="008365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34C39" w14:textId="2BB7CD7D" w:rsidR="00234BFF" w:rsidRDefault="00234BFF" w:rsidP="0008661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2DBD3BFE" w14:textId="77777777" w:rsidR="00234BFF" w:rsidRDefault="00234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33135037"/>
      <w:docPartObj>
        <w:docPartGallery w:val="Page Numbers (Bottom of Page)"/>
        <w:docPartUnique/>
      </w:docPartObj>
    </w:sdtPr>
    <w:sdtEndPr>
      <w:rPr>
        <w:rStyle w:val="PageNumber"/>
      </w:rPr>
    </w:sdtEndPr>
    <w:sdtContent>
      <w:p w14:paraId="10DFE335" w14:textId="38257D67" w:rsidR="00234BFF" w:rsidRDefault="00234BFF" w:rsidP="0008661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255E6997" w14:textId="77777777" w:rsidR="00A154F3" w:rsidRDefault="00A15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90BAE" w14:textId="77777777" w:rsidR="00836553" w:rsidRDefault="00836553" w:rsidP="0013537A">
      <w:r>
        <w:separator/>
      </w:r>
    </w:p>
  </w:footnote>
  <w:footnote w:type="continuationSeparator" w:id="0">
    <w:p w14:paraId="0A6AFFF0" w14:textId="77777777" w:rsidR="00836553" w:rsidRDefault="00836553" w:rsidP="0013537A">
      <w:r>
        <w:continuationSeparator/>
      </w:r>
    </w:p>
  </w:footnote>
  <w:footnote w:type="continuationNotice" w:id="1">
    <w:p w14:paraId="227AA2C0" w14:textId="77777777" w:rsidR="00836553" w:rsidRDefault="00836553"/>
  </w:footnote>
  <w:footnote w:id="2">
    <w:p w14:paraId="4BCDBB35" w14:textId="78DE7C2E" w:rsidR="002450C6" w:rsidRDefault="002450C6" w:rsidP="002450C6">
      <w:pPr>
        <w:pStyle w:val="FootnoteText"/>
      </w:pPr>
      <w:r>
        <w:rPr>
          <w:rStyle w:val="FootnoteReference"/>
        </w:rPr>
        <w:footnoteRef/>
      </w:r>
      <w:r>
        <w:t xml:space="preserve"> </w:t>
      </w:r>
      <w:r w:rsidRPr="002450C6">
        <w:t xml:space="preserve">Site walkdowns were conducted and preliminary designs and drawings created by experienced solar design firms for the purposes of developing projects and submitting interconnection applications to PG&amp;E to secure NEM2 grandfathering in advance of the April 14, </w:t>
      </w:r>
      <w:proofErr w:type="gramStart"/>
      <w:r w:rsidRPr="002450C6">
        <w:t>2023</w:t>
      </w:r>
      <w:proofErr w:type="gramEnd"/>
      <w:r w:rsidRPr="002450C6">
        <w:t xml:space="preserve"> deadline.  Contractor will </w:t>
      </w:r>
      <w:r w:rsidR="00311C9A">
        <w:t xml:space="preserve">review and </w:t>
      </w:r>
      <w:r w:rsidRPr="002450C6">
        <w:t xml:space="preserve">develop final designs </w:t>
      </w:r>
      <w:r w:rsidR="00311C9A">
        <w:t xml:space="preserve">(as needed) for </w:t>
      </w:r>
      <w:r w:rsidRPr="002450C6">
        <w:t>each project</w:t>
      </w:r>
      <w:r>
        <w:t>,</w:t>
      </w:r>
      <w:r w:rsidRPr="002450C6">
        <w:t xml:space="preserve"> maintaining </w:t>
      </w:r>
      <w:r w:rsidR="00311C9A">
        <w:t>each project’s</w:t>
      </w:r>
      <w:r w:rsidRPr="002450C6">
        <w:t xml:space="preserve"> NEM</w:t>
      </w:r>
      <w:r w:rsidR="0030168E">
        <w:t xml:space="preserve"> 2.0</w:t>
      </w:r>
      <w:r w:rsidR="00311C9A">
        <w:t xml:space="preserve"> eligibility</w:t>
      </w:r>
      <w:r w:rsidRPr="002450C6">
        <w:t>.</w:t>
      </w:r>
      <w:r w:rsidR="00790ABE">
        <w:t xml:space="preserve"> In the event Contractor identifies a need for changes to a preliminary design, a Change Order Process will be utilized.  </w:t>
      </w:r>
    </w:p>
  </w:footnote>
  <w:footnote w:id="3">
    <w:p w14:paraId="3CD0782C" w14:textId="3ECF7E9F" w:rsidR="0013537A" w:rsidRDefault="0013537A">
      <w:pPr>
        <w:pStyle w:val="FootnoteText"/>
      </w:pPr>
      <w:r>
        <w:rPr>
          <w:rStyle w:val="FootnoteReference"/>
        </w:rPr>
        <w:footnoteRef/>
      </w:r>
      <w:r>
        <w:t xml:space="preserve"> Interconnection applications have been submitted to PG&amp;E for these projects in order to obtain eligibility for NEM 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403B"/>
    <w:multiLevelType w:val="hybridMultilevel"/>
    <w:tmpl w:val="1F30CB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E70450"/>
    <w:multiLevelType w:val="hybridMultilevel"/>
    <w:tmpl w:val="49327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30725"/>
    <w:multiLevelType w:val="hybridMultilevel"/>
    <w:tmpl w:val="0882E6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A2546A"/>
    <w:multiLevelType w:val="hybridMultilevel"/>
    <w:tmpl w:val="6DB65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00E7D"/>
    <w:multiLevelType w:val="hybridMultilevel"/>
    <w:tmpl w:val="0026F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147E61"/>
    <w:multiLevelType w:val="hybridMultilevel"/>
    <w:tmpl w:val="55F4CE0A"/>
    <w:lvl w:ilvl="0" w:tplc="5B960C4E">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0474">
    <w:abstractNumId w:val="3"/>
  </w:num>
  <w:num w:numId="2" w16cid:durableId="1795368037">
    <w:abstractNumId w:val="4"/>
  </w:num>
  <w:num w:numId="3" w16cid:durableId="176045695">
    <w:abstractNumId w:val="2"/>
  </w:num>
  <w:num w:numId="4" w16cid:durableId="39324000">
    <w:abstractNumId w:val="0"/>
  </w:num>
  <w:num w:numId="5" w16cid:durableId="1080643303">
    <w:abstractNumId w:val="1"/>
  </w:num>
  <w:num w:numId="6" w16cid:durableId="18206122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6C"/>
    <w:rsid w:val="000025DF"/>
    <w:rsid w:val="00050B71"/>
    <w:rsid w:val="00072E41"/>
    <w:rsid w:val="00097901"/>
    <w:rsid w:val="000A6237"/>
    <w:rsid w:val="000B3804"/>
    <w:rsid w:val="000C1832"/>
    <w:rsid w:val="000F166D"/>
    <w:rsid w:val="00130322"/>
    <w:rsid w:val="0013537A"/>
    <w:rsid w:val="00150C3C"/>
    <w:rsid w:val="001D145B"/>
    <w:rsid w:val="001D488F"/>
    <w:rsid w:val="001D695B"/>
    <w:rsid w:val="00220FE1"/>
    <w:rsid w:val="00234BFF"/>
    <w:rsid w:val="002368EE"/>
    <w:rsid w:val="002450C6"/>
    <w:rsid w:val="00245BCF"/>
    <w:rsid w:val="002542CD"/>
    <w:rsid w:val="002743F1"/>
    <w:rsid w:val="00296B10"/>
    <w:rsid w:val="002B452E"/>
    <w:rsid w:val="002F2F0E"/>
    <w:rsid w:val="0030168E"/>
    <w:rsid w:val="00304A92"/>
    <w:rsid w:val="00311C9A"/>
    <w:rsid w:val="00321414"/>
    <w:rsid w:val="0033566F"/>
    <w:rsid w:val="003E401F"/>
    <w:rsid w:val="003F6BD9"/>
    <w:rsid w:val="00405F2C"/>
    <w:rsid w:val="00412157"/>
    <w:rsid w:val="0042058D"/>
    <w:rsid w:val="00471DE5"/>
    <w:rsid w:val="004E15C0"/>
    <w:rsid w:val="005110A0"/>
    <w:rsid w:val="00513BF8"/>
    <w:rsid w:val="00532ED3"/>
    <w:rsid w:val="0053701D"/>
    <w:rsid w:val="00537897"/>
    <w:rsid w:val="0056333D"/>
    <w:rsid w:val="005A0CD8"/>
    <w:rsid w:val="005C1E68"/>
    <w:rsid w:val="005D67DE"/>
    <w:rsid w:val="0060431B"/>
    <w:rsid w:val="00666565"/>
    <w:rsid w:val="0069550C"/>
    <w:rsid w:val="006B4454"/>
    <w:rsid w:val="006C4324"/>
    <w:rsid w:val="006D454F"/>
    <w:rsid w:val="00715950"/>
    <w:rsid w:val="00746904"/>
    <w:rsid w:val="00772A1B"/>
    <w:rsid w:val="00780E6D"/>
    <w:rsid w:val="00790ABE"/>
    <w:rsid w:val="00794A12"/>
    <w:rsid w:val="007A7DC9"/>
    <w:rsid w:val="007C552C"/>
    <w:rsid w:val="007D6AE0"/>
    <w:rsid w:val="007F4680"/>
    <w:rsid w:val="00836553"/>
    <w:rsid w:val="0087131B"/>
    <w:rsid w:val="008C1B56"/>
    <w:rsid w:val="008C7166"/>
    <w:rsid w:val="008E52E6"/>
    <w:rsid w:val="00900ECB"/>
    <w:rsid w:val="00920F73"/>
    <w:rsid w:val="00956325"/>
    <w:rsid w:val="009632FA"/>
    <w:rsid w:val="009D73FD"/>
    <w:rsid w:val="009F397B"/>
    <w:rsid w:val="009F4CBE"/>
    <w:rsid w:val="00A03C12"/>
    <w:rsid w:val="00A154F3"/>
    <w:rsid w:val="00A216A9"/>
    <w:rsid w:val="00A24932"/>
    <w:rsid w:val="00A56A2E"/>
    <w:rsid w:val="00A57A69"/>
    <w:rsid w:val="00A705F6"/>
    <w:rsid w:val="00A852DF"/>
    <w:rsid w:val="00A917F9"/>
    <w:rsid w:val="00AA39EF"/>
    <w:rsid w:val="00AF0817"/>
    <w:rsid w:val="00B03981"/>
    <w:rsid w:val="00B13922"/>
    <w:rsid w:val="00B15AD1"/>
    <w:rsid w:val="00B53DB7"/>
    <w:rsid w:val="00B55A81"/>
    <w:rsid w:val="00B568CB"/>
    <w:rsid w:val="00B644E7"/>
    <w:rsid w:val="00B70C6B"/>
    <w:rsid w:val="00BB0BB9"/>
    <w:rsid w:val="00BF1E0A"/>
    <w:rsid w:val="00BF7720"/>
    <w:rsid w:val="00C636F3"/>
    <w:rsid w:val="00C74C05"/>
    <w:rsid w:val="00C86EC5"/>
    <w:rsid w:val="00CB7BC3"/>
    <w:rsid w:val="00CC1C6C"/>
    <w:rsid w:val="00CC6F13"/>
    <w:rsid w:val="00CE145E"/>
    <w:rsid w:val="00CE2218"/>
    <w:rsid w:val="00D13840"/>
    <w:rsid w:val="00D14BCB"/>
    <w:rsid w:val="00D52CFD"/>
    <w:rsid w:val="00D62F82"/>
    <w:rsid w:val="00D73369"/>
    <w:rsid w:val="00DB1041"/>
    <w:rsid w:val="00DE5965"/>
    <w:rsid w:val="00DF5D03"/>
    <w:rsid w:val="00E15A83"/>
    <w:rsid w:val="00ED2128"/>
    <w:rsid w:val="00ED2739"/>
    <w:rsid w:val="00F46624"/>
    <w:rsid w:val="00F614EF"/>
    <w:rsid w:val="00F76B4F"/>
    <w:rsid w:val="00F771E0"/>
    <w:rsid w:val="00F8158B"/>
    <w:rsid w:val="00FB439B"/>
    <w:rsid w:val="00FC792D"/>
    <w:rsid w:val="00FF2C6F"/>
    <w:rsid w:val="524DB2C9"/>
    <w:rsid w:val="697172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6E7A5"/>
  <w15:chartTrackingRefBased/>
  <w15:docId w15:val="{6B0D7D73-5B89-104C-ACC6-C61D7412E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7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452E"/>
    <w:pPr>
      <w:ind w:left="720"/>
      <w:contextualSpacing/>
    </w:pPr>
  </w:style>
  <w:style w:type="character" w:styleId="CommentReference">
    <w:name w:val="annotation reference"/>
    <w:basedOn w:val="DefaultParagraphFont"/>
    <w:uiPriority w:val="99"/>
    <w:semiHidden/>
    <w:unhideWhenUsed/>
    <w:rsid w:val="00FC792D"/>
    <w:rPr>
      <w:sz w:val="16"/>
      <w:szCs w:val="16"/>
    </w:rPr>
  </w:style>
  <w:style w:type="paragraph" w:styleId="CommentText">
    <w:name w:val="annotation text"/>
    <w:basedOn w:val="Normal"/>
    <w:link w:val="CommentTextChar"/>
    <w:uiPriority w:val="99"/>
    <w:unhideWhenUsed/>
    <w:rsid w:val="00FC792D"/>
    <w:rPr>
      <w:sz w:val="20"/>
      <w:szCs w:val="20"/>
    </w:rPr>
  </w:style>
  <w:style w:type="character" w:customStyle="1" w:styleId="CommentTextChar">
    <w:name w:val="Comment Text Char"/>
    <w:basedOn w:val="DefaultParagraphFont"/>
    <w:link w:val="CommentText"/>
    <w:uiPriority w:val="99"/>
    <w:rsid w:val="00FC792D"/>
    <w:rPr>
      <w:sz w:val="20"/>
      <w:szCs w:val="20"/>
    </w:rPr>
  </w:style>
  <w:style w:type="paragraph" w:styleId="CommentSubject">
    <w:name w:val="annotation subject"/>
    <w:basedOn w:val="CommentText"/>
    <w:next w:val="CommentText"/>
    <w:link w:val="CommentSubjectChar"/>
    <w:uiPriority w:val="99"/>
    <w:semiHidden/>
    <w:unhideWhenUsed/>
    <w:rsid w:val="00FC792D"/>
    <w:rPr>
      <w:b/>
      <w:bCs/>
    </w:rPr>
  </w:style>
  <w:style w:type="character" w:customStyle="1" w:styleId="CommentSubjectChar">
    <w:name w:val="Comment Subject Char"/>
    <w:basedOn w:val="CommentTextChar"/>
    <w:link w:val="CommentSubject"/>
    <w:uiPriority w:val="99"/>
    <w:semiHidden/>
    <w:rsid w:val="00FC792D"/>
    <w:rPr>
      <w:b/>
      <w:bCs/>
      <w:sz w:val="20"/>
      <w:szCs w:val="20"/>
    </w:rPr>
  </w:style>
  <w:style w:type="paragraph" w:styleId="Revision">
    <w:name w:val="Revision"/>
    <w:hidden/>
    <w:uiPriority w:val="99"/>
    <w:semiHidden/>
    <w:rsid w:val="00FC792D"/>
  </w:style>
  <w:style w:type="paragraph" w:styleId="FootnoteText">
    <w:name w:val="footnote text"/>
    <w:basedOn w:val="Normal"/>
    <w:link w:val="FootnoteTextChar"/>
    <w:uiPriority w:val="99"/>
    <w:semiHidden/>
    <w:unhideWhenUsed/>
    <w:rsid w:val="0013537A"/>
    <w:rPr>
      <w:sz w:val="20"/>
      <w:szCs w:val="20"/>
    </w:rPr>
  </w:style>
  <w:style w:type="character" w:customStyle="1" w:styleId="FootnoteTextChar">
    <w:name w:val="Footnote Text Char"/>
    <w:basedOn w:val="DefaultParagraphFont"/>
    <w:link w:val="FootnoteText"/>
    <w:uiPriority w:val="99"/>
    <w:semiHidden/>
    <w:rsid w:val="0013537A"/>
    <w:rPr>
      <w:sz w:val="20"/>
      <w:szCs w:val="20"/>
    </w:rPr>
  </w:style>
  <w:style w:type="character" w:styleId="FootnoteReference">
    <w:name w:val="footnote reference"/>
    <w:basedOn w:val="DefaultParagraphFont"/>
    <w:uiPriority w:val="99"/>
    <w:semiHidden/>
    <w:unhideWhenUsed/>
    <w:rsid w:val="0013537A"/>
    <w:rPr>
      <w:vertAlign w:val="superscript"/>
    </w:rPr>
  </w:style>
  <w:style w:type="paragraph" w:styleId="Header">
    <w:name w:val="header"/>
    <w:basedOn w:val="Normal"/>
    <w:link w:val="HeaderChar"/>
    <w:uiPriority w:val="99"/>
    <w:unhideWhenUsed/>
    <w:rsid w:val="00A154F3"/>
    <w:pPr>
      <w:tabs>
        <w:tab w:val="center" w:pos="4680"/>
        <w:tab w:val="right" w:pos="9360"/>
      </w:tabs>
    </w:pPr>
  </w:style>
  <w:style w:type="character" w:customStyle="1" w:styleId="HeaderChar">
    <w:name w:val="Header Char"/>
    <w:basedOn w:val="DefaultParagraphFont"/>
    <w:link w:val="Header"/>
    <w:uiPriority w:val="99"/>
    <w:rsid w:val="00A154F3"/>
  </w:style>
  <w:style w:type="paragraph" w:styleId="Footer">
    <w:name w:val="footer"/>
    <w:basedOn w:val="Normal"/>
    <w:link w:val="FooterChar"/>
    <w:uiPriority w:val="99"/>
    <w:unhideWhenUsed/>
    <w:rsid w:val="00A154F3"/>
    <w:pPr>
      <w:tabs>
        <w:tab w:val="center" w:pos="4680"/>
        <w:tab w:val="right" w:pos="9360"/>
      </w:tabs>
    </w:pPr>
  </w:style>
  <w:style w:type="character" w:customStyle="1" w:styleId="FooterChar">
    <w:name w:val="Footer Char"/>
    <w:basedOn w:val="DefaultParagraphFont"/>
    <w:link w:val="Footer"/>
    <w:uiPriority w:val="99"/>
    <w:rsid w:val="00A154F3"/>
  </w:style>
  <w:style w:type="character" w:styleId="PageNumber">
    <w:name w:val="page number"/>
    <w:basedOn w:val="DefaultParagraphFont"/>
    <w:uiPriority w:val="99"/>
    <w:semiHidden/>
    <w:unhideWhenUsed/>
    <w:rsid w:val="00234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944FF-4689-AF48-99AE-7CDFA4D52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Fribush</dc:creator>
  <cp:keywords/>
  <dc:description/>
  <cp:lastModifiedBy>Rafael Reyes</cp:lastModifiedBy>
  <cp:revision>2</cp:revision>
  <dcterms:created xsi:type="dcterms:W3CDTF">2023-08-25T21:11:00Z</dcterms:created>
  <dcterms:modified xsi:type="dcterms:W3CDTF">2023-08-25T21:11:00Z</dcterms:modified>
</cp:coreProperties>
</file>